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黑体"/>
          <w:spacing w:val="15"/>
          <w:sz w:val="32"/>
          <w:szCs w:val="32"/>
        </w:rPr>
      </w:pPr>
    </w:p>
    <w:p>
      <w:pPr>
        <w:spacing w:line="560" w:lineRule="exact"/>
        <w:jc w:val="center"/>
        <w:rPr>
          <w:rStyle w:val="7"/>
          <w:rFonts w:ascii="黑体" w:eastAsia="黑体"/>
          <w:b w:val="0"/>
          <w:sz w:val="44"/>
          <w:szCs w:val="44"/>
        </w:rPr>
      </w:pPr>
      <w:r>
        <w:rPr>
          <w:rFonts w:hint="eastAsia" w:ascii="黑体" w:eastAsia="黑体"/>
          <w:bCs/>
          <w:spacing w:val="15"/>
          <w:sz w:val="44"/>
          <w:szCs w:val="44"/>
        </w:rPr>
        <w:t>嘉兴市工商业联合会</w:t>
      </w:r>
      <w:r>
        <w:rPr>
          <w:rFonts w:ascii="黑体" w:eastAsia="黑体"/>
          <w:bCs/>
          <w:spacing w:val="15"/>
          <w:sz w:val="44"/>
          <w:szCs w:val="44"/>
        </w:rPr>
        <w:t>2018</w:t>
      </w:r>
      <w:r>
        <w:rPr>
          <w:rFonts w:hint="eastAsia" w:ascii="黑体" w:eastAsia="黑体"/>
          <w:bCs/>
          <w:spacing w:val="15"/>
          <w:sz w:val="44"/>
          <w:szCs w:val="44"/>
        </w:rPr>
        <w:t>年部门预算</w:t>
      </w:r>
    </w:p>
    <w:p>
      <w:pPr>
        <w:spacing w:line="560" w:lineRule="exact"/>
        <w:ind w:firstLine="588" w:firstLineChars="196"/>
        <w:rPr>
          <w:rStyle w:val="7"/>
          <w:b w:val="0"/>
          <w:color w:val="000000"/>
          <w:sz w:val="30"/>
          <w:szCs w:val="30"/>
        </w:rPr>
      </w:pPr>
    </w:p>
    <w:p>
      <w:pPr>
        <w:spacing w:line="560" w:lineRule="exact"/>
        <w:ind w:firstLine="627" w:firstLineChars="196"/>
        <w:rPr>
          <w:rStyle w:val="7"/>
          <w:rFonts w:ascii="黑体" w:eastAsia="黑体"/>
          <w:b w:val="0"/>
          <w:color w:val="000000"/>
          <w:sz w:val="32"/>
          <w:szCs w:val="32"/>
        </w:rPr>
      </w:pPr>
      <w:r>
        <w:rPr>
          <w:rStyle w:val="7"/>
          <w:rFonts w:hint="eastAsia" w:ascii="黑体" w:eastAsia="黑体"/>
          <w:b w:val="0"/>
          <w:color w:val="000000"/>
          <w:sz w:val="32"/>
          <w:szCs w:val="32"/>
        </w:rPr>
        <w:t>一、嘉兴市工商业联合会概况</w:t>
      </w:r>
    </w:p>
    <w:p>
      <w:pPr>
        <w:spacing w:line="560" w:lineRule="exact"/>
        <w:ind w:firstLine="630" w:firstLineChars="196"/>
        <w:rPr>
          <w:rFonts w:ascii="楷体_GB2312" w:hAnsi="楷体_GB2312" w:eastAsia="楷体_GB2312" w:cs="楷体_GB2312"/>
          <w:b/>
          <w:sz w:val="32"/>
          <w:szCs w:val="32"/>
        </w:rPr>
      </w:pPr>
      <w:r>
        <w:rPr>
          <w:rFonts w:hint="eastAsia" w:ascii="楷体_GB2312" w:hAnsi="楷体_GB2312" w:eastAsia="楷体_GB2312" w:cs="楷体_GB2312"/>
          <w:b/>
          <w:sz w:val="32"/>
          <w:szCs w:val="32"/>
        </w:rPr>
        <w:t>（一）主要职能</w:t>
      </w:r>
    </w:p>
    <w:p>
      <w:pPr>
        <w:spacing w:line="560" w:lineRule="exact"/>
        <w:ind w:firstLine="616" w:firstLineChars="200"/>
        <w:rPr>
          <w:rFonts w:ascii="仿宋_GB2312" w:hAnsi="仿宋_GB2312" w:eastAsia="仿宋_GB2312" w:cs="仿宋_GB2312"/>
          <w:spacing w:val="-6"/>
          <w:sz w:val="32"/>
          <w:szCs w:val="32"/>
        </w:rPr>
      </w:pPr>
      <w:r>
        <w:rPr>
          <w:rFonts w:ascii="仿宋_GB2312" w:hAnsi="仿宋_GB2312" w:eastAsia="仿宋_GB2312" w:cs="仿宋_GB2312"/>
          <w:spacing w:val="-6"/>
          <w:kern w:val="0"/>
          <w:sz w:val="32"/>
          <w:szCs w:val="32"/>
        </w:rPr>
        <w:t>1.</w:t>
      </w:r>
      <w:r>
        <w:rPr>
          <w:rFonts w:hint="eastAsia" w:ascii="仿宋_GB2312" w:hAnsi="仿宋_GB2312" w:eastAsia="仿宋_GB2312" w:cs="仿宋_GB2312"/>
          <w:spacing w:val="-6"/>
          <w:kern w:val="0"/>
          <w:sz w:val="32"/>
          <w:szCs w:val="32"/>
        </w:rPr>
        <w:t>宣传和贯彻执行党的</w:t>
      </w:r>
      <w:r>
        <w:rPr>
          <w:rFonts w:hint="eastAsia" w:ascii="仿宋_GB2312" w:hAnsi="仿宋_GB2312" w:eastAsia="仿宋_GB2312" w:cs="仿宋_GB2312"/>
          <w:spacing w:val="-6"/>
          <w:sz w:val="32"/>
          <w:szCs w:val="32"/>
        </w:rPr>
        <w:t>非公有制经济</w:t>
      </w:r>
      <w:r>
        <w:rPr>
          <w:rFonts w:hint="eastAsia" w:ascii="仿宋_GB2312" w:hAnsi="仿宋_GB2312" w:eastAsia="仿宋_GB2312" w:cs="仿宋_GB2312"/>
          <w:spacing w:val="-6"/>
          <w:kern w:val="0"/>
          <w:sz w:val="32"/>
          <w:szCs w:val="32"/>
        </w:rPr>
        <w:t>路线方针政策和国家法律法规规章，团结、服务、引导、教育会员，引导非公有制经济人士做到爱国、敬业、创新、守法、诚信、贡献，培养优秀的非公有制经济代表人士队伍，积极履行社会责任，做合格的中国特色社会主义事业建设者</w:t>
      </w:r>
      <w:r>
        <w:rPr>
          <w:rFonts w:hint="eastAsia" w:ascii="仿宋_GB2312" w:hAnsi="仿宋_GB2312" w:eastAsia="仿宋_GB2312" w:cs="仿宋_GB2312"/>
          <w:spacing w:val="-6"/>
          <w:sz w:val="32"/>
          <w:szCs w:val="32"/>
        </w:rPr>
        <w:t>。</w:t>
      </w:r>
    </w:p>
    <w:p>
      <w:pPr>
        <w:spacing w:line="560" w:lineRule="exact"/>
        <w:ind w:firstLine="616" w:firstLineChars="200"/>
        <w:rPr>
          <w:rFonts w:ascii="仿宋_GB2312" w:hAnsi="仿宋_GB2312" w:eastAsia="仿宋_GB2312" w:cs="仿宋_GB2312"/>
          <w:spacing w:val="-6"/>
          <w:kern w:val="0"/>
          <w:sz w:val="32"/>
          <w:szCs w:val="32"/>
        </w:rPr>
      </w:pPr>
      <w:r>
        <w:rPr>
          <w:rFonts w:ascii="仿宋_GB2312" w:hAnsi="仿宋_GB2312" w:eastAsia="仿宋_GB2312" w:cs="仿宋_GB2312"/>
          <w:spacing w:val="-6"/>
          <w:kern w:val="0"/>
          <w:sz w:val="32"/>
          <w:szCs w:val="32"/>
        </w:rPr>
        <w:t>2.</w:t>
      </w:r>
      <w:r>
        <w:rPr>
          <w:rFonts w:hint="eastAsia" w:ascii="仿宋_GB2312" w:hAnsi="仿宋_GB2312" w:eastAsia="仿宋_GB2312" w:cs="仿宋_GB2312"/>
          <w:spacing w:val="-6"/>
          <w:kern w:val="0"/>
          <w:sz w:val="32"/>
          <w:szCs w:val="32"/>
        </w:rPr>
        <w:t>参与经济和社会等重大事务决策的政治协商、参政议政，发挥民主监督作用；做好非公有制经济代表人士综合评价和政治安排、社会安排的推荐等工作；做好新生代企业家的培养教育工作；对有关非公有制经济发展的法律法规、政策的制定提出意见建议；推动形成有利于非公有制经济发展的政策、法制、市场、社会等环境。</w:t>
      </w:r>
    </w:p>
    <w:p>
      <w:pPr>
        <w:spacing w:line="560" w:lineRule="exact"/>
        <w:ind w:firstLine="616" w:firstLineChars="200"/>
        <w:rPr>
          <w:rFonts w:ascii="仿宋_GB2312" w:hAnsi="仿宋_GB2312" w:eastAsia="仿宋_GB2312" w:cs="仿宋_GB2312"/>
          <w:spacing w:val="-6"/>
          <w:sz w:val="32"/>
          <w:szCs w:val="32"/>
          <w:highlight w:val="yellow"/>
        </w:rPr>
      </w:pPr>
      <w:r>
        <w:rPr>
          <w:rFonts w:ascii="仿宋_GB2312" w:hAnsi="仿宋_GB2312" w:eastAsia="仿宋_GB2312" w:cs="仿宋_GB2312"/>
          <w:spacing w:val="-6"/>
          <w:kern w:val="0"/>
          <w:sz w:val="32"/>
          <w:szCs w:val="32"/>
        </w:rPr>
        <w:t>3.</w:t>
      </w:r>
      <w:r>
        <w:rPr>
          <w:rFonts w:hint="eastAsia" w:ascii="仿宋_GB2312" w:hAnsi="仿宋_GB2312" w:eastAsia="仿宋_GB2312" w:cs="仿宋_GB2312"/>
          <w:spacing w:val="-6"/>
          <w:kern w:val="0"/>
          <w:sz w:val="32"/>
          <w:szCs w:val="32"/>
        </w:rPr>
        <w:t>协助政府管理和服务非公有制经济。加快经济发展方式转变和产业优化升级，</w:t>
      </w:r>
      <w:r>
        <w:rPr>
          <w:rFonts w:hint="eastAsia" w:ascii="仿宋_GB2312" w:hAnsi="仿宋_GB2312" w:eastAsia="仿宋_GB2312" w:cs="仿宋_GB2312"/>
          <w:spacing w:val="-6"/>
          <w:sz w:val="32"/>
          <w:szCs w:val="32"/>
        </w:rPr>
        <w:t>推进结构调整和自主创新</w:t>
      </w:r>
      <w:r>
        <w:rPr>
          <w:rFonts w:hint="eastAsia" w:ascii="仿宋_GB2312" w:hAnsi="仿宋_GB2312" w:eastAsia="仿宋_GB2312" w:cs="仿宋_GB2312"/>
          <w:spacing w:val="-6"/>
          <w:kern w:val="0"/>
          <w:sz w:val="32"/>
          <w:szCs w:val="32"/>
        </w:rPr>
        <w:t>，促进非公有制经济健康发展；健全和完善会员诉求渠道，反映非公有制企业和非公有制经济人士利益诉求，参与协调劳动关系三方会议，维护企业合法权益；参与相关经济纠纷调解、仲裁等工作。</w:t>
      </w:r>
    </w:p>
    <w:p>
      <w:pPr>
        <w:spacing w:line="560" w:lineRule="exact"/>
        <w:ind w:firstLine="616" w:firstLineChars="200"/>
        <w:rPr>
          <w:rFonts w:ascii="仿宋_GB2312" w:hAnsi="仿宋_GB2312" w:eastAsia="仿宋_GB2312" w:cs="仿宋_GB2312"/>
          <w:spacing w:val="-6"/>
          <w:kern w:val="0"/>
          <w:sz w:val="32"/>
          <w:szCs w:val="32"/>
        </w:rPr>
      </w:pPr>
      <w:r>
        <w:rPr>
          <w:rFonts w:ascii="仿宋_GB2312" w:hAnsi="仿宋_GB2312" w:eastAsia="仿宋_GB2312" w:cs="仿宋_GB2312"/>
          <w:spacing w:val="-6"/>
          <w:kern w:val="0"/>
          <w:sz w:val="32"/>
          <w:szCs w:val="32"/>
        </w:rPr>
        <w:t>4.</w:t>
      </w:r>
      <w:r>
        <w:rPr>
          <w:rFonts w:hint="eastAsia" w:ascii="仿宋_GB2312" w:hAnsi="仿宋_GB2312" w:eastAsia="仿宋_GB2312" w:cs="仿宋_GB2312"/>
          <w:spacing w:val="-6"/>
          <w:kern w:val="0"/>
          <w:sz w:val="32"/>
          <w:szCs w:val="32"/>
        </w:rPr>
        <w:t>做好对所属商会协会的指导、引导和服务，建立完善商会协会的评价体系，开展考核工作，促进制度化、规范化建设，提高依法办会水平；助推政府职能向商会协会转移，指导商会协会购买服务；负责市域外嘉兴商会的组建、指导和联络，促进基层商会发展；领导和指导商会协会党组织建设工作，推动成立行业性或区域性党组织。</w:t>
      </w:r>
    </w:p>
    <w:p>
      <w:pPr>
        <w:pStyle w:val="5"/>
        <w:widowControl w:val="0"/>
        <w:spacing w:line="560" w:lineRule="exact"/>
        <w:ind w:firstLine="616" w:firstLineChars="200"/>
        <w:jc w:val="both"/>
        <w:rPr>
          <w:rFonts w:ascii="仿宋_GB2312" w:hAnsi="仿宋_GB2312" w:eastAsia="仿宋_GB2312" w:cs="仿宋_GB2312"/>
          <w:spacing w:val="-6"/>
          <w:sz w:val="32"/>
          <w:szCs w:val="32"/>
        </w:rPr>
      </w:pPr>
      <w:r>
        <w:rPr>
          <w:rFonts w:ascii="仿宋_GB2312" w:hAnsi="仿宋_GB2312" w:eastAsia="仿宋_GB2312" w:cs="仿宋_GB2312"/>
          <w:spacing w:val="-6"/>
          <w:sz w:val="32"/>
          <w:szCs w:val="32"/>
        </w:rPr>
        <w:t>5.</w:t>
      </w:r>
      <w:r>
        <w:rPr>
          <w:rFonts w:hint="eastAsia" w:ascii="仿宋_GB2312" w:hAnsi="仿宋_GB2312" w:eastAsia="仿宋_GB2312" w:cs="仿宋_GB2312"/>
          <w:spacing w:val="-6"/>
          <w:sz w:val="32"/>
          <w:szCs w:val="32"/>
        </w:rPr>
        <w:t>开展对外联络，增强与境内外工商社团及工商经济人士的联系，促进经济、技术和贸易合作；积极开展民间外交，引导会员参与“一带一路”建设，加强同国外工商界的合作交流，为非公有制企业开展国际合作提供服务。</w:t>
      </w:r>
    </w:p>
    <w:p>
      <w:pPr>
        <w:pStyle w:val="5"/>
        <w:widowControl w:val="0"/>
        <w:spacing w:line="560" w:lineRule="exact"/>
        <w:ind w:firstLine="616" w:firstLineChars="200"/>
        <w:jc w:val="both"/>
        <w:rPr>
          <w:rFonts w:ascii="仿宋_GB2312" w:hAnsi="仿宋_GB2312" w:eastAsia="仿宋_GB2312" w:cs="仿宋_GB2312"/>
          <w:spacing w:val="-6"/>
          <w:sz w:val="32"/>
          <w:szCs w:val="32"/>
        </w:rPr>
      </w:pPr>
      <w:r>
        <w:rPr>
          <w:rFonts w:ascii="仿宋_GB2312" w:hAnsi="仿宋_GB2312" w:eastAsia="仿宋_GB2312" w:cs="仿宋_GB2312"/>
          <w:spacing w:val="-6"/>
          <w:sz w:val="32"/>
          <w:szCs w:val="32"/>
        </w:rPr>
        <w:t>6.</w:t>
      </w:r>
      <w:r>
        <w:rPr>
          <w:rFonts w:hint="eastAsia" w:ascii="仿宋_GB2312" w:hAnsi="仿宋_GB2312" w:eastAsia="仿宋_GB2312" w:cs="仿宋_GB2312"/>
          <w:spacing w:val="-6"/>
          <w:sz w:val="32"/>
          <w:szCs w:val="32"/>
        </w:rPr>
        <w:t>承办市委、市政府和省工商联交办的其他事项。</w:t>
      </w:r>
    </w:p>
    <w:p>
      <w:pPr>
        <w:spacing w:line="560" w:lineRule="exact"/>
        <w:ind w:firstLine="630" w:firstLineChars="196"/>
        <w:rPr>
          <w:rFonts w:ascii="楷体_GB2312" w:hAnsi="楷体_GB2312" w:eastAsia="楷体_GB2312" w:cs="楷体_GB2312"/>
          <w:b/>
          <w:sz w:val="32"/>
          <w:szCs w:val="32"/>
        </w:rPr>
      </w:pPr>
      <w:r>
        <w:rPr>
          <w:rFonts w:hint="eastAsia" w:ascii="楷体_GB2312" w:hAnsi="楷体_GB2312" w:eastAsia="楷体_GB2312" w:cs="楷体_GB2312"/>
          <w:b/>
          <w:sz w:val="32"/>
          <w:szCs w:val="32"/>
        </w:rPr>
        <w:t>（二）部门预算单位构成</w:t>
      </w:r>
    </w:p>
    <w:p>
      <w:pPr>
        <w:spacing w:line="540" w:lineRule="exact"/>
        <w:ind w:firstLine="627" w:firstLineChars="196"/>
        <w:rPr>
          <w:rFonts w:ascii="仿宋_GB2312" w:eastAsia="仿宋_GB2312"/>
          <w:bCs/>
          <w:sz w:val="32"/>
          <w:szCs w:val="32"/>
        </w:rPr>
      </w:pPr>
      <w:r>
        <w:rPr>
          <w:rFonts w:hint="eastAsia" w:ascii="仿宋_GB2312" w:eastAsia="仿宋_GB2312"/>
          <w:bCs/>
          <w:sz w:val="32"/>
          <w:szCs w:val="32"/>
        </w:rPr>
        <w:t>从预算单位构成看，工商业联合会部门预算包括：会本级预算。</w:t>
      </w:r>
    </w:p>
    <w:p>
      <w:pPr>
        <w:numPr>
          <w:ilvl w:val="0"/>
          <w:numId w:val="1"/>
        </w:numPr>
        <w:spacing w:line="560" w:lineRule="exact"/>
        <w:ind w:firstLine="627" w:firstLineChars="196"/>
        <w:rPr>
          <w:rFonts w:ascii="楷体_GB2312" w:hAnsi="楷体_GB2312" w:eastAsia="楷体_GB2312" w:cs="楷体_GB2312"/>
          <w:b/>
          <w:color w:val="000000"/>
          <w:sz w:val="32"/>
          <w:szCs w:val="32"/>
        </w:rPr>
      </w:pPr>
      <w:r>
        <w:rPr>
          <w:rStyle w:val="7"/>
          <w:rFonts w:hint="eastAsia" w:ascii="黑体" w:eastAsia="黑体"/>
          <w:b w:val="0"/>
          <w:color w:val="000000"/>
          <w:sz w:val="32"/>
          <w:szCs w:val="32"/>
        </w:rPr>
        <w:t>工商业联合会</w:t>
      </w:r>
      <w:r>
        <w:rPr>
          <w:rStyle w:val="7"/>
          <w:rFonts w:ascii="黑体" w:eastAsia="黑体"/>
          <w:b w:val="0"/>
          <w:color w:val="000000"/>
          <w:sz w:val="32"/>
          <w:szCs w:val="32"/>
        </w:rPr>
        <w:t>2018</w:t>
      </w:r>
      <w:r>
        <w:rPr>
          <w:rStyle w:val="7"/>
          <w:rFonts w:hint="eastAsia" w:ascii="黑体" w:eastAsia="黑体"/>
          <w:b w:val="0"/>
          <w:color w:val="000000"/>
          <w:sz w:val="32"/>
          <w:szCs w:val="32"/>
        </w:rPr>
        <w:t>年部门预算安排情况说明</w:t>
      </w:r>
      <w:r>
        <w:rPr>
          <w:color w:val="000000"/>
          <w:sz w:val="32"/>
          <w:szCs w:val="32"/>
        </w:rPr>
        <w:br w:type="textWrapping"/>
      </w:r>
      <w:r>
        <w:rPr>
          <w:rFonts w:hint="eastAsia" w:ascii="仿宋_GB2312" w:eastAsia="仿宋_GB2312"/>
          <w:color w:val="000000"/>
          <w:sz w:val="30"/>
          <w:szCs w:val="30"/>
        </w:rPr>
        <w:t>　　</w:t>
      </w:r>
      <w:r>
        <w:rPr>
          <w:rFonts w:hint="eastAsia" w:ascii="楷体_GB2312" w:hAnsi="楷体_GB2312" w:eastAsia="楷体_GB2312" w:cs="楷体_GB2312"/>
          <w:b/>
          <w:color w:val="000000"/>
          <w:sz w:val="32"/>
          <w:szCs w:val="32"/>
        </w:rPr>
        <w:t>（一）关于</w:t>
      </w:r>
      <w:r>
        <w:rPr>
          <w:rStyle w:val="7"/>
          <w:rFonts w:hint="eastAsia" w:ascii="楷体_GB2312" w:hAnsi="楷体_GB2312" w:eastAsia="楷体_GB2312" w:cs="楷体_GB2312"/>
          <w:color w:val="000000"/>
          <w:sz w:val="32"/>
          <w:szCs w:val="32"/>
        </w:rPr>
        <w:t>工商业联合会</w:t>
      </w:r>
      <w:r>
        <w:rPr>
          <w:rStyle w:val="7"/>
          <w:rFonts w:ascii="楷体_GB2312" w:hAnsi="楷体_GB2312" w:eastAsia="楷体_GB2312" w:cs="楷体_GB2312"/>
          <w:color w:val="000000"/>
          <w:sz w:val="32"/>
          <w:szCs w:val="32"/>
        </w:rPr>
        <w:t>2018</w:t>
      </w:r>
      <w:r>
        <w:rPr>
          <w:rStyle w:val="7"/>
          <w:rFonts w:hint="eastAsia" w:ascii="楷体_GB2312" w:hAnsi="楷体_GB2312" w:eastAsia="楷体_GB2312" w:cs="楷体_GB2312"/>
          <w:color w:val="000000"/>
          <w:sz w:val="32"/>
          <w:szCs w:val="32"/>
        </w:rPr>
        <w:t>年收支预算情况的总体说明</w:t>
      </w:r>
    </w:p>
    <w:p>
      <w:pPr>
        <w:spacing w:line="560" w:lineRule="exact"/>
        <w:rPr>
          <w:rFonts w:ascii="楷体_GB2312" w:hAnsi="楷体_GB2312" w:eastAsia="楷体_GB2312" w:cs="楷体_GB2312"/>
          <w:b/>
          <w:color w:val="000000"/>
          <w:sz w:val="32"/>
          <w:szCs w:val="32"/>
        </w:rPr>
      </w:pPr>
      <w:r>
        <w:rPr>
          <w:rFonts w:ascii="楷体_GB2312" w:hAnsi="楷体_GB2312" w:eastAsia="楷体_GB2312" w:cs="楷体_GB2312"/>
          <w:b/>
          <w:color w:val="000000"/>
          <w:sz w:val="32"/>
          <w:szCs w:val="32"/>
        </w:rPr>
        <w:t xml:space="preserve">   </w:t>
      </w:r>
      <w:r>
        <w:rPr>
          <w:rFonts w:ascii="仿宋_GB2312" w:eastAsia="仿宋_GB2312"/>
          <w:bCs/>
          <w:color w:val="000000"/>
          <w:sz w:val="32"/>
          <w:szCs w:val="32"/>
        </w:rPr>
        <w:t xml:space="preserve"> </w:t>
      </w:r>
      <w:r>
        <w:rPr>
          <w:rFonts w:hint="eastAsia" w:ascii="仿宋_GB2312" w:eastAsia="仿宋_GB2312"/>
          <w:bCs/>
          <w:color w:val="000000"/>
          <w:sz w:val="32"/>
          <w:szCs w:val="32"/>
        </w:rPr>
        <w:t>按照</w:t>
      </w:r>
      <w:r>
        <w:rPr>
          <w:rFonts w:hint="eastAsia" w:ascii="仿宋_GB2312" w:eastAsia="仿宋_GB2312"/>
          <w:bCs/>
          <w:sz w:val="32"/>
          <w:szCs w:val="32"/>
        </w:rPr>
        <w:t>综合预算的原则，</w:t>
      </w:r>
      <w:r>
        <w:rPr>
          <w:rFonts w:hint="eastAsia" w:ascii="仿宋_GB2312" w:eastAsia="仿宋_GB2312"/>
          <w:color w:val="000000"/>
          <w:sz w:val="32"/>
          <w:szCs w:val="32"/>
        </w:rPr>
        <w:t>工商业联合会所有收入和支出均纳入部门预算管理。收入包括：一般公共预算收入；支出包括：一般公共服务支</w:t>
      </w:r>
      <w:r>
        <w:rPr>
          <w:rFonts w:hint="eastAsia" w:ascii="仿宋_GB2312" w:eastAsia="仿宋_GB2312"/>
          <w:color w:val="000000"/>
          <w:spacing w:val="-20"/>
          <w:sz w:val="32"/>
          <w:szCs w:val="32"/>
        </w:rPr>
        <w:t>出、社会保障和就业支出、住房保障支出。工商业联合会</w:t>
      </w:r>
      <w:r>
        <w:rPr>
          <w:rFonts w:ascii="仿宋_GB2312" w:eastAsia="仿宋_GB2312"/>
          <w:color w:val="000000"/>
          <w:sz w:val="32"/>
          <w:szCs w:val="32"/>
        </w:rPr>
        <w:t>2018</w:t>
      </w:r>
      <w:r>
        <w:rPr>
          <w:rFonts w:hint="eastAsia" w:ascii="仿宋_GB2312" w:eastAsia="仿宋_GB2312"/>
          <w:color w:val="000000"/>
          <w:sz w:val="32"/>
          <w:szCs w:val="32"/>
        </w:rPr>
        <w:t>年收支总预算</w:t>
      </w:r>
      <w:r>
        <w:rPr>
          <w:rFonts w:ascii="仿宋_GB2312" w:eastAsia="仿宋_GB2312"/>
          <w:color w:val="000000"/>
          <w:sz w:val="32"/>
          <w:szCs w:val="32"/>
        </w:rPr>
        <w:t>521.19</w:t>
      </w:r>
      <w:r>
        <w:rPr>
          <w:rFonts w:hint="eastAsia" w:ascii="仿宋_GB2312" w:eastAsia="仿宋_GB2312"/>
          <w:color w:val="000000"/>
          <w:sz w:val="32"/>
          <w:szCs w:val="32"/>
        </w:rPr>
        <w:t>万元。</w:t>
      </w:r>
    </w:p>
    <w:p>
      <w:pPr>
        <w:spacing w:line="550" w:lineRule="exact"/>
        <w:ind w:firstLine="642"/>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（二）关于工商业联合会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年收入预算情况说明</w:t>
      </w:r>
    </w:p>
    <w:p>
      <w:pPr>
        <w:spacing w:line="550" w:lineRule="exact"/>
        <w:ind w:firstLine="642"/>
        <w:rPr>
          <w:rFonts w:ascii="仿宋_GB2312" w:eastAsia="仿宋_GB2312"/>
          <w:color w:val="000000"/>
          <w:sz w:val="32"/>
          <w:szCs w:val="32"/>
        </w:rPr>
      </w:pPr>
      <w:r>
        <w:rPr>
          <w:rFonts w:hint="eastAsia" w:ascii="仿宋_GB2312" w:eastAsia="仿宋_GB2312"/>
          <w:color w:val="000000"/>
          <w:sz w:val="32"/>
          <w:szCs w:val="32"/>
        </w:rPr>
        <w:t>工商业联合会</w:t>
      </w:r>
      <w:r>
        <w:rPr>
          <w:rFonts w:ascii="仿宋_GB2312" w:eastAsia="仿宋_GB2312"/>
          <w:color w:val="000000"/>
          <w:sz w:val="32"/>
          <w:szCs w:val="32"/>
        </w:rPr>
        <w:t>2018</w:t>
      </w:r>
      <w:r>
        <w:rPr>
          <w:rFonts w:hint="eastAsia" w:ascii="仿宋_GB2312" w:eastAsia="仿宋_GB2312"/>
          <w:color w:val="000000"/>
          <w:sz w:val="32"/>
          <w:szCs w:val="32"/>
        </w:rPr>
        <w:t>年收入预算</w:t>
      </w:r>
      <w:r>
        <w:rPr>
          <w:rFonts w:ascii="仿宋_GB2312" w:eastAsia="仿宋_GB2312"/>
          <w:color w:val="000000"/>
          <w:sz w:val="32"/>
          <w:szCs w:val="32"/>
        </w:rPr>
        <w:t>521.19</w:t>
      </w:r>
      <w:r>
        <w:rPr>
          <w:rFonts w:hint="eastAsia" w:ascii="仿宋_GB2312" w:eastAsia="仿宋_GB2312"/>
          <w:color w:val="000000"/>
          <w:sz w:val="32"/>
          <w:szCs w:val="32"/>
        </w:rPr>
        <w:t>万元，其中：一般公共预算收入</w:t>
      </w:r>
      <w:r>
        <w:rPr>
          <w:rFonts w:ascii="仿宋_GB2312" w:eastAsia="仿宋_GB2312"/>
          <w:color w:val="000000"/>
          <w:sz w:val="32"/>
          <w:szCs w:val="32"/>
        </w:rPr>
        <w:t>521.19</w:t>
      </w:r>
      <w:r>
        <w:rPr>
          <w:rFonts w:hint="eastAsia" w:ascii="仿宋_GB2312" w:eastAsia="仿宋_GB2312"/>
          <w:color w:val="000000"/>
          <w:sz w:val="32"/>
          <w:szCs w:val="32"/>
        </w:rPr>
        <w:t>万元，占</w:t>
      </w:r>
      <w:r>
        <w:rPr>
          <w:rFonts w:ascii="仿宋_GB2312" w:eastAsia="仿宋_GB2312"/>
          <w:color w:val="000000"/>
          <w:sz w:val="32"/>
          <w:szCs w:val="32"/>
        </w:rPr>
        <w:t>100%</w:t>
      </w:r>
      <w:r>
        <w:rPr>
          <w:rFonts w:hint="eastAsia" w:ascii="仿宋_GB2312" w:eastAsia="仿宋_GB2312"/>
          <w:color w:val="000000"/>
          <w:sz w:val="32"/>
          <w:szCs w:val="32"/>
        </w:rPr>
        <w:t>；政府性基金预算收入</w:t>
      </w:r>
      <w:r>
        <w:rPr>
          <w:rFonts w:ascii="仿宋_GB2312" w:eastAsia="仿宋_GB2312"/>
          <w:color w:val="000000"/>
          <w:sz w:val="32"/>
          <w:szCs w:val="32"/>
        </w:rPr>
        <w:t>0</w:t>
      </w:r>
      <w:r>
        <w:rPr>
          <w:rFonts w:hint="eastAsia" w:ascii="仿宋_GB2312" w:eastAsia="仿宋_GB2312"/>
          <w:color w:val="000000"/>
          <w:sz w:val="32"/>
          <w:szCs w:val="32"/>
        </w:rPr>
        <w:t>万元，占</w:t>
      </w:r>
      <w:r>
        <w:rPr>
          <w:rFonts w:ascii="仿宋_GB2312" w:eastAsia="仿宋_GB2312"/>
          <w:color w:val="000000"/>
          <w:sz w:val="32"/>
          <w:szCs w:val="32"/>
        </w:rPr>
        <w:t>0%</w:t>
      </w:r>
      <w:r>
        <w:rPr>
          <w:rFonts w:hint="eastAsia" w:ascii="仿宋_GB2312" w:eastAsia="仿宋_GB2312"/>
          <w:color w:val="000000"/>
          <w:sz w:val="32"/>
          <w:szCs w:val="32"/>
        </w:rPr>
        <w:t>；政府专项资金补助收入</w:t>
      </w:r>
      <w:r>
        <w:rPr>
          <w:rFonts w:ascii="仿宋_GB2312" w:eastAsia="仿宋_GB2312"/>
          <w:color w:val="000000"/>
          <w:sz w:val="32"/>
          <w:szCs w:val="32"/>
        </w:rPr>
        <w:t>0</w:t>
      </w:r>
      <w:r>
        <w:rPr>
          <w:rFonts w:hint="eastAsia" w:ascii="仿宋_GB2312" w:eastAsia="仿宋_GB2312"/>
          <w:color w:val="000000"/>
          <w:sz w:val="32"/>
          <w:szCs w:val="32"/>
        </w:rPr>
        <w:t>万元，占</w:t>
      </w:r>
      <w:r>
        <w:rPr>
          <w:rFonts w:ascii="仿宋_GB2312" w:eastAsia="仿宋_GB2312"/>
          <w:color w:val="000000"/>
          <w:sz w:val="32"/>
          <w:szCs w:val="32"/>
        </w:rPr>
        <w:t>0%;</w:t>
      </w:r>
      <w:r>
        <w:rPr>
          <w:rFonts w:hint="eastAsia" w:ascii="仿宋_GB2312" w:eastAsia="仿宋_GB2312"/>
          <w:color w:val="000000"/>
          <w:sz w:val="32"/>
          <w:szCs w:val="32"/>
        </w:rPr>
        <w:t>用事业基金弥补收支差额</w:t>
      </w:r>
      <w:r>
        <w:rPr>
          <w:rFonts w:ascii="仿宋_GB2312" w:eastAsia="仿宋_GB2312"/>
          <w:color w:val="000000"/>
          <w:sz w:val="32"/>
          <w:szCs w:val="32"/>
        </w:rPr>
        <w:t>0</w:t>
      </w:r>
      <w:r>
        <w:rPr>
          <w:rFonts w:hint="eastAsia" w:ascii="仿宋_GB2312" w:eastAsia="仿宋_GB2312"/>
          <w:color w:val="000000"/>
          <w:sz w:val="32"/>
          <w:szCs w:val="32"/>
        </w:rPr>
        <w:t>万元，占</w:t>
      </w:r>
      <w:r>
        <w:rPr>
          <w:rFonts w:ascii="仿宋_GB2312" w:eastAsia="仿宋_GB2312"/>
          <w:color w:val="000000"/>
          <w:sz w:val="32"/>
          <w:szCs w:val="32"/>
        </w:rPr>
        <w:t>0%</w:t>
      </w:r>
      <w:r>
        <w:rPr>
          <w:rFonts w:hint="eastAsia" w:ascii="仿宋_GB2312" w:eastAsia="仿宋_GB2312"/>
          <w:color w:val="000000"/>
          <w:sz w:val="32"/>
          <w:szCs w:val="32"/>
        </w:rPr>
        <w:t>。</w:t>
      </w:r>
      <w:r>
        <w:rPr>
          <w:rFonts w:ascii="仿宋_GB2312" w:eastAsia="仿宋_GB2312"/>
          <w:color w:val="000000"/>
          <w:sz w:val="32"/>
          <w:szCs w:val="32"/>
        </w:rPr>
        <w:br w:type="textWrapping"/>
      </w:r>
      <w:r>
        <w:rPr>
          <w:rFonts w:hint="eastAsia" w:ascii="楷体_GB2312" w:hAnsi="楷体_GB2312" w:eastAsia="楷体_GB2312" w:cs="楷体_GB2312"/>
          <w:b/>
          <w:color w:val="000000"/>
          <w:sz w:val="32"/>
          <w:szCs w:val="32"/>
        </w:rPr>
        <w:t>　　（三）关于工商业联合会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年支出预算情况说明</w:t>
      </w:r>
      <w:r>
        <w:rPr>
          <w:rFonts w:ascii="仿宋_GB2312" w:eastAsia="仿宋_GB2312"/>
          <w:color w:val="000000"/>
          <w:sz w:val="32"/>
          <w:szCs w:val="32"/>
        </w:rPr>
        <w:br w:type="textWrapping"/>
      </w:r>
      <w:r>
        <w:rPr>
          <w:rFonts w:hint="eastAsia" w:ascii="仿宋_GB2312" w:eastAsia="仿宋_GB2312"/>
          <w:color w:val="000000"/>
          <w:sz w:val="32"/>
          <w:szCs w:val="32"/>
        </w:rPr>
        <w:t>　　工商业联合会</w:t>
      </w:r>
      <w:r>
        <w:rPr>
          <w:rFonts w:ascii="仿宋_GB2312" w:eastAsia="仿宋_GB2312"/>
          <w:color w:val="000000"/>
          <w:sz w:val="32"/>
          <w:szCs w:val="32"/>
        </w:rPr>
        <w:t>2018</w:t>
      </w:r>
      <w:r>
        <w:rPr>
          <w:rFonts w:hint="eastAsia" w:ascii="仿宋_GB2312" w:eastAsia="仿宋_GB2312"/>
          <w:color w:val="000000"/>
          <w:sz w:val="32"/>
          <w:szCs w:val="32"/>
        </w:rPr>
        <w:t>年支出预算</w:t>
      </w:r>
      <w:r>
        <w:rPr>
          <w:rFonts w:ascii="仿宋_GB2312" w:eastAsia="仿宋_GB2312"/>
          <w:color w:val="000000"/>
          <w:sz w:val="32"/>
          <w:szCs w:val="32"/>
        </w:rPr>
        <w:t>521.19</w:t>
      </w:r>
      <w:r>
        <w:rPr>
          <w:rFonts w:hint="eastAsia" w:ascii="仿宋_GB2312" w:eastAsia="仿宋_GB2312"/>
          <w:color w:val="000000"/>
          <w:sz w:val="32"/>
          <w:szCs w:val="32"/>
        </w:rPr>
        <w:t>万元。</w:t>
      </w:r>
    </w:p>
    <w:p>
      <w:pPr>
        <w:spacing w:line="550" w:lineRule="exact"/>
        <w:ind w:firstLine="63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按支出功能分类，包括一般公共服务支出</w:t>
      </w:r>
      <w:r>
        <w:rPr>
          <w:rFonts w:ascii="仿宋_GB2312" w:eastAsia="仿宋_GB2312"/>
          <w:color w:val="000000"/>
          <w:sz w:val="32"/>
          <w:szCs w:val="32"/>
        </w:rPr>
        <w:t>426.41</w:t>
      </w:r>
      <w:r>
        <w:rPr>
          <w:rFonts w:hint="eastAsia" w:ascii="仿宋_GB2312" w:eastAsia="仿宋_GB2312"/>
          <w:color w:val="000000"/>
          <w:sz w:val="32"/>
          <w:szCs w:val="32"/>
        </w:rPr>
        <w:t>万元、社会保障和就业支出</w:t>
      </w:r>
      <w:r>
        <w:rPr>
          <w:rFonts w:ascii="仿宋_GB2312" w:eastAsia="仿宋_GB2312"/>
          <w:color w:val="000000"/>
          <w:sz w:val="32"/>
          <w:szCs w:val="32"/>
        </w:rPr>
        <w:t>56.33</w:t>
      </w:r>
      <w:r>
        <w:rPr>
          <w:rFonts w:hint="eastAsia" w:ascii="仿宋_GB2312" w:eastAsia="仿宋_GB2312"/>
          <w:color w:val="000000"/>
          <w:sz w:val="32"/>
          <w:szCs w:val="32"/>
        </w:rPr>
        <w:t>万元、住房保障支出</w:t>
      </w:r>
      <w:r>
        <w:rPr>
          <w:rFonts w:ascii="仿宋_GB2312" w:eastAsia="仿宋_GB2312"/>
          <w:color w:val="000000"/>
          <w:sz w:val="32"/>
          <w:szCs w:val="32"/>
        </w:rPr>
        <w:t>38.45</w:t>
      </w:r>
      <w:r>
        <w:rPr>
          <w:rFonts w:hint="eastAsia" w:ascii="仿宋_GB2312" w:eastAsia="仿宋_GB2312"/>
          <w:color w:val="000000"/>
          <w:sz w:val="32"/>
          <w:szCs w:val="32"/>
        </w:rPr>
        <w:t>万元。</w:t>
      </w:r>
    </w:p>
    <w:p>
      <w:pPr>
        <w:spacing w:line="550" w:lineRule="exact"/>
        <w:ind w:firstLine="630"/>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按支出用途分类，包括人员支出</w:t>
      </w:r>
      <w:r>
        <w:rPr>
          <w:rFonts w:ascii="仿宋_GB2312" w:eastAsia="仿宋_GB2312"/>
          <w:color w:val="000000"/>
          <w:sz w:val="32"/>
          <w:szCs w:val="32"/>
        </w:rPr>
        <w:t>358.75</w:t>
      </w:r>
      <w:r>
        <w:rPr>
          <w:rFonts w:hint="eastAsia" w:ascii="仿宋_GB2312" w:eastAsia="仿宋_GB2312"/>
          <w:color w:val="000000"/>
          <w:sz w:val="32"/>
          <w:szCs w:val="32"/>
        </w:rPr>
        <w:t>万元，日常公用支出</w:t>
      </w:r>
      <w:r>
        <w:rPr>
          <w:rFonts w:ascii="仿宋_GB2312" w:eastAsia="仿宋_GB2312"/>
          <w:color w:val="000000"/>
          <w:sz w:val="32"/>
          <w:szCs w:val="32"/>
        </w:rPr>
        <w:t>82.08</w:t>
      </w:r>
      <w:r>
        <w:rPr>
          <w:rFonts w:hint="eastAsia" w:ascii="仿宋_GB2312" w:eastAsia="仿宋_GB2312"/>
          <w:color w:val="000000"/>
          <w:sz w:val="32"/>
          <w:szCs w:val="32"/>
        </w:rPr>
        <w:t>万元，项目支出</w:t>
      </w:r>
      <w:r>
        <w:rPr>
          <w:rFonts w:ascii="仿宋_GB2312" w:eastAsia="仿宋_GB2312"/>
          <w:color w:val="000000"/>
          <w:sz w:val="32"/>
          <w:szCs w:val="32"/>
        </w:rPr>
        <w:t>80.36</w:t>
      </w:r>
      <w:r>
        <w:rPr>
          <w:rFonts w:hint="eastAsia" w:ascii="仿宋_GB2312" w:eastAsia="仿宋_GB2312"/>
          <w:color w:val="000000"/>
          <w:sz w:val="32"/>
          <w:szCs w:val="32"/>
        </w:rPr>
        <w:t>万元。</w:t>
      </w:r>
    </w:p>
    <w:p>
      <w:pPr>
        <w:spacing w:line="550" w:lineRule="exact"/>
        <w:ind w:firstLine="630" w:firstLineChars="196"/>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（四）关于工商业联合会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年财政拨款收支预算情况的总体说明</w:t>
      </w:r>
    </w:p>
    <w:p>
      <w:pPr>
        <w:spacing w:line="550" w:lineRule="exact"/>
        <w:ind w:firstLine="640"/>
        <w:rPr>
          <w:rFonts w:ascii="仿宋_GB2312" w:eastAsia="仿宋_GB2312"/>
          <w:color w:val="000000"/>
          <w:sz w:val="32"/>
          <w:szCs w:val="32"/>
        </w:rPr>
      </w:pPr>
      <w:r>
        <w:rPr>
          <w:rFonts w:hint="eastAsia" w:ascii="楷体_GB2312" w:hAnsi="楷体_GB2312" w:eastAsia="楷体_GB2312" w:cs="楷体_GB2312"/>
          <w:color w:val="000000"/>
          <w:sz w:val="32"/>
          <w:szCs w:val="32"/>
        </w:rPr>
        <w:t>工商业联合会</w:t>
      </w:r>
      <w:r>
        <w:rPr>
          <w:rFonts w:ascii="仿宋_GB2312" w:eastAsia="仿宋_GB2312"/>
          <w:color w:val="000000"/>
          <w:sz w:val="32"/>
          <w:szCs w:val="32"/>
        </w:rPr>
        <w:t>2018</w:t>
      </w:r>
      <w:r>
        <w:rPr>
          <w:rFonts w:hint="eastAsia" w:ascii="仿宋_GB2312" w:eastAsia="仿宋_GB2312"/>
          <w:color w:val="000000"/>
          <w:sz w:val="32"/>
          <w:szCs w:val="32"/>
        </w:rPr>
        <w:t>年财政拨款收支总预算</w:t>
      </w:r>
      <w:r>
        <w:rPr>
          <w:rFonts w:ascii="仿宋_GB2312" w:eastAsia="仿宋_GB2312"/>
          <w:color w:val="000000"/>
          <w:sz w:val="32"/>
          <w:szCs w:val="32"/>
        </w:rPr>
        <w:t>521.19</w:t>
      </w:r>
      <w:r>
        <w:rPr>
          <w:rFonts w:hint="eastAsia" w:ascii="仿宋_GB2312" w:eastAsia="仿宋_GB2312"/>
          <w:color w:val="000000"/>
          <w:sz w:val="32"/>
          <w:szCs w:val="32"/>
        </w:rPr>
        <w:t>万元。包括：一般公共预算收入</w:t>
      </w:r>
      <w:r>
        <w:rPr>
          <w:rFonts w:ascii="仿宋_GB2312" w:eastAsia="仿宋_GB2312"/>
          <w:color w:val="000000"/>
          <w:sz w:val="32"/>
          <w:szCs w:val="32"/>
        </w:rPr>
        <w:t>521.19</w:t>
      </w:r>
      <w:r>
        <w:rPr>
          <w:rFonts w:hint="eastAsia" w:ascii="仿宋_GB2312" w:eastAsia="仿宋_GB2312"/>
          <w:color w:val="000000"/>
          <w:sz w:val="32"/>
          <w:szCs w:val="32"/>
        </w:rPr>
        <w:t>万元、政府性基金预算收入</w:t>
      </w:r>
      <w:r>
        <w:rPr>
          <w:rFonts w:ascii="仿宋_GB2312" w:eastAsia="仿宋_GB2312"/>
          <w:color w:val="000000"/>
          <w:sz w:val="32"/>
          <w:szCs w:val="32"/>
        </w:rPr>
        <w:t>0</w:t>
      </w:r>
      <w:r>
        <w:rPr>
          <w:rFonts w:hint="eastAsia" w:ascii="仿宋_GB2312" w:eastAsia="仿宋_GB2312"/>
          <w:color w:val="000000"/>
          <w:sz w:val="32"/>
          <w:szCs w:val="32"/>
        </w:rPr>
        <w:t>万元；支出包括：一般公共服务支出</w:t>
      </w:r>
      <w:r>
        <w:rPr>
          <w:rFonts w:ascii="仿宋_GB2312" w:eastAsia="仿宋_GB2312"/>
          <w:color w:val="000000"/>
          <w:sz w:val="32"/>
          <w:szCs w:val="32"/>
        </w:rPr>
        <w:t>426.41</w:t>
      </w:r>
      <w:r>
        <w:rPr>
          <w:rFonts w:hint="eastAsia" w:ascii="仿宋_GB2312" w:eastAsia="仿宋_GB2312"/>
          <w:color w:val="000000"/>
          <w:sz w:val="32"/>
          <w:szCs w:val="32"/>
        </w:rPr>
        <w:t>万元、社会保障和就业支出</w:t>
      </w:r>
      <w:r>
        <w:rPr>
          <w:rFonts w:ascii="仿宋_GB2312" w:eastAsia="仿宋_GB2312"/>
          <w:color w:val="000000"/>
          <w:sz w:val="32"/>
          <w:szCs w:val="32"/>
        </w:rPr>
        <w:t>56.33</w:t>
      </w:r>
      <w:r>
        <w:rPr>
          <w:rFonts w:hint="eastAsia" w:ascii="仿宋_GB2312" w:eastAsia="仿宋_GB2312"/>
          <w:color w:val="000000"/>
          <w:sz w:val="32"/>
          <w:szCs w:val="32"/>
        </w:rPr>
        <w:t>万元、住房保障支出</w:t>
      </w:r>
      <w:r>
        <w:rPr>
          <w:rFonts w:ascii="仿宋_GB2312" w:eastAsia="仿宋_GB2312"/>
          <w:color w:val="000000"/>
          <w:sz w:val="32"/>
          <w:szCs w:val="32"/>
        </w:rPr>
        <w:t>38.45</w:t>
      </w:r>
      <w:r>
        <w:rPr>
          <w:rFonts w:hint="eastAsia" w:ascii="仿宋_GB2312" w:eastAsia="仿宋_GB2312"/>
          <w:color w:val="000000"/>
          <w:sz w:val="32"/>
          <w:szCs w:val="32"/>
        </w:rPr>
        <w:t>万元。</w:t>
      </w:r>
    </w:p>
    <w:p>
      <w:pPr>
        <w:numPr>
          <w:ilvl w:val="0"/>
          <w:numId w:val="2"/>
        </w:numPr>
        <w:spacing w:line="550" w:lineRule="exact"/>
        <w:ind w:firstLine="640"/>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年一般公共预算当年拨款情况说明</w:t>
      </w:r>
    </w:p>
    <w:p>
      <w:pPr>
        <w:spacing w:line="550" w:lineRule="exact"/>
        <w:ind w:firstLine="642"/>
        <w:rPr>
          <w:rFonts w:ascii="仿宋_GB2312" w:hAnsi="仿宋" w:eastAsia="仿宋_GB2312" w:cs="楷体_GB2312"/>
          <w:b/>
          <w:color w:val="000000"/>
          <w:sz w:val="32"/>
          <w:szCs w:val="32"/>
        </w:rPr>
      </w:pPr>
      <w:r>
        <w:rPr>
          <w:rFonts w:ascii="仿宋_GB2312" w:hAnsi="仿宋" w:eastAsia="仿宋_GB2312" w:cs="楷体_GB2312"/>
          <w:b/>
          <w:color w:val="000000"/>
          <w:sz w:val="32"/>
          <w:szCs w:val="32"/>
        </w:rPr>
        <w:t>1.</w:t>
      </w:r>
      <w:r>
        <w:rPr>
          <w:rFonts w:hint="eastAsia" w:ascii="仿宋_GB2312" w:hAnsi="仿宋" w:eastAsia="仿宋_GB2312" w:cs="楷体_GB2312"/>
          <w:b/>
          <w:color w:val="000000"/>
          <w:sz w:val="32"/>
          <w:szCs w:val="32"/>
        </w:rPr>
        <w:t>一般公共预算当年拨款规模变化情况</w:t>
      </w:r>
    </w:p>
    <w:p>
      <w:pPr>
        <w:spacing w:line="550" w:lineRule="exact"/>
        <w:ind w:firstLine="642"/>
        <w:rPr>
          <w:rFonts w:ascii="仿宋_GB2312" w:hAnsi="仿宋" w:eastAsia="仿宋_GB2312"/>
          <w:color w:val="000000"/>
          <w:sz w:val="32"/>
          <w:szCs w:val="32"/>
          <w:highlight w:val="none"/>
        </w:rPr>
      </w:pPr>
      <w:r>
        <w:rPr>
          <w:rFonts w:hint="eastAsia" w:ascii="仿宋_GB2312" w:hAnsi="楷体_GB2312" w:eastAsia="仿宋_GB2312" w:cs="楷体_GB2312"/>
          <w:sz w:val="32"/>
          <w:szCs w:val="32"/>
          <w:highlight w:val="none"/>
        </w:rPr>
        <w:t>工商业联合会</w:t>
      </w:r>
      <w:r>
        <w:rPr>
          <w:rFonts w:ascii="仿宋_GB2312" w:hAnsi="仿宋" w:eastAsia="仿宋_GB2312"/>
          <w:color w:val="000000"/>
          <w:sz w:val="32"/>
          <w:szCs w:val="32"/>
          <w:highlight w:val="none"/>
        </w:rPr>
        <w:t>2018</w:t>
      </w:r>
      <w:r>
        <w:rPr>
          <w:rFonts w:hint="eastAsia" w:ascii="仿宋_GB2312" w:hAnsi="仿宋" w:eastAsia="仿宋_GB2312"/>
          <w:color w:val="000000"/>
          <w:sz w:val="32"/>
          <w:szCs w:val="32"/>
          <w:highlight w:val="none"/>
        </w:rPr>
        <w:t>年一般公共预算收入</w:t>
      </w:r>
      <w:r>
        <w:rPr>
          <w:rFonts w:ascii="仿宋_GB2312" w:hAnsi="仿宋" w:eastAsia="仿宋_GB2312"/>
          <w:color w:val="000000"/>
          <w:sz w:val="32"/>
          <w:szCs w:val="32"/>
          <w:highlight w:val="none"/>
        </w:rPr>
        <w:t>521.19</w:t>
      </w:r>
      <w:r>
        <w:rPr>
          <w:rFonts w:hint="eastAsia" w:ascii="仿宋_GB2312" w:hAnsi="仿宋" w:eastAsia="仿宋_GB2312"/>
          <w:color w:val="000000"/>
          <w:sz w:val="32"/>
          <w:szCs w:val="32"/>
          <w:highlight w:val="none"/>
        </w:rPr>
        <w:t>万元，比</w:t>
      </w:r>
      <w:r>
        <w:rPr>
          <w:rFonts w:ascii="仿宋_GB2312" w:hAnsi="仿宋" w:eastAsia="仿宋_GB2312"/>
          <w:color w:val="000000"/>
          <w:sz w:val="32"/>
          <w:szCs w:val="32"/>
          <w:highlight w:val="none"/>
        </w:rPr>
        <w:t>2017</w:t>
      </w:r>
      <w:r>
        <w:rPr>
          <w:rFonts w:hint="eastAsia" w:ascii="仿宋_GB2312" w:hAnsi="仿宋" w:eastAsia="仿宋_GB2312"/>
          <w:color w:val="000000"/>
          <w:sz w:val="32"/>
          <w:szCs w:val="32"/>
          <w:highlight w:val="none"/>
        </w:rPr>
        <w:t>年执行数减少</w:t>
      </w:r>
      <w:r>
        <w:rPr>
          <w:rFonts w:hint="eastAsia" w:ascii="仿宋_GB2312" w:hAnsi="仿宋" w:eastAsia="仿宋_GB2312"/>
          <w:color w:val="000000"/>
          <w:sz w:val="32"/>
          <w:szCs w:val="32"/>
          <w:highlight w:val="none"/>
          <w:lang w:val="en-US" w:eastAsia="zh-CN"/>
        </w:rPr>
        <w:t>95.24</w:t>
      </w:r>
      <w:r>
        <w:rPr>
          <w:rFonts w:hint="eastAsia" w:ascii="仿宋_GB2312" w:hAnsi="仿宋" w:eastAsia="仿宋_GB2312"/>
          <w:color w:val="000000"/>
          <w:sz w:val="32"/>
          <w:szCs w:val="32"/>
          <w:highlight w:val="none"/>
        </w:rPr>
        <w:t>万元</w:t>
      </w:r>
      <w:r>
        <w:rPr>
          <w:rFonts w:hint="eastAsia" w:ascii="仿宋_GB2312" w:hAnsi="仿宋" w:eastAsia="仿宋_GB2312"/>
          <w:color w:val="000000"/>
          <w:sz w:val="32"/>
          <w:szCs w:val="32"/>
          <w:highlight w:val="none"/>
          <w:lang w:eastAsia="zh-CN"/>
        </w:rPr>
        <w:t>。与上年执行数相比，</w:t>
      </w:r>
      <w:r>
        <w:rPr>
          <w:rFonts w:hint="eastAsia" w:ascii="仿宋_GB2312" w:hAnsi="仿宋" w:eastAsia="仿宋_GB2312"/>
          <w:color w:val="000000"/>
          <w:sz w:val="32"/>
          <w:szCs w:val="32"/>
          <w:highlight w:val="none"/>
          <w:lang w:val="en-US" w:eastAsia="zh-CN"/>
        </w:rPr>
        <w:t>基本支出减少64.64万元、项目支出减少30.6万元</w:t>
      </w:r>
      <w:r>
        <w:rPr>
          <w:rFonts w:hint="eastAsia" w:ascii="仿宋_GB2312" w:hAnsi="仿宋" w:eastAsia="仿宋_GB2312"/>
          <w:color w:val="000000"/>
          <w:sz w:val="32"/>
          <w:szCs w:val="32"/>
          <w:highlight w:val="none"/>
        </w:rPr>
        <w:t>。</w:t>
      </w:r>
    </w:p>
    <w:p>
      <w:pPr>
        <w:spacing w:line="550" w:lineRule="exact"/>
        <w:ind w:firstLine="642"/>
        <w:rPr>
          <w:rFonts w:ascii="仿宋_GB2312" w:hAnsi="仿宋" w:eastAsia="仿宋_GB2312" w:cs="楷体_GB2312"/>
          <w:b/>
          <w:color w:val="000000"/>
          <w:sz w:val="32"/>
          <w:szCs w:val="32"/>
        </w:rPr>
      </w:pPr>
      <w:r>
        <w:rPr>
          <w:rFonts w:ascii="仿宋_GB2312" w:hAnsi="仿宋" w:eastAsia="仿宋_GB2312" w:cs="楷体_GB2312"/>
          <w:b/>
          <w:color w:val="000000"/>
          <w:sz w:val="32"/>
          <w:szCs w:val="32"/>
        </w:rPr>
        <w:t>2.</w:t>
      </w:r>
      <w:r>
        <w:rPr>
          <w:rFonts w:hint="eastAsia" w:ascii="仿宋_GB2312" w:hAnsi="仿宋" w:eastAsia="仿宋_GB2312" w:cs="楷体_GB2312"/>
          <w:b/>
          <w:color w:val="000000"/>
          <w:sz w:val="32"/>
          <w:szCs w:val="32"/>
        </w:rPr>
        <w:t>一般公共预算当年拨款结构情况</w:t>
      </w:r>
    </w:p>
    <w:p>
      <w:pPr>
        <w:spacing w:line="550" w:lineRule="exact"/>
        <w:rPr>
          <w:rFonts w:ascii="仿宋_GB2312" w:hAnsi="仿宋" w:eastAsia="仿宋_GB2312"/>
          <w:color w:val="000000"/>
          <w:sz w:val="32"/>
          <w:szCs w:val="32"/>
        </w:rPr>
      </w:pPr>
      <w:r>
        <w:rPr>
          <w:rFonts w:ascii="仿宋" w:hAnsi="仿宋" w:eastAsia="仿宋"/>
          <w:color w:val="000000"/>
          <w:sz w:val="32"/>
          <w:szCs w:val="32"/>
        </w:rPr>
        <w:t xml:space="preserve">   </w:t>
      </w:r>
      <w:r>
        <w:rPr>
          <w:rFonts w:ascii="仿宋_GB2312" w:hAnsi="仿宋" w:eastAsia="仿宋_GB2312"/>
          <w:color w:val="000000"/>
          <w:sz w:val="32"/>
          <w:szCs w:val="32"/>
        </w:rPr>
        <w:t xml:space="preserve"> </w:t>
      </w:r>
      <w:r>
        <w:rPr>
          <w:rFonts w:hint="eastAsia" w:ascii="仿宋_GB2312" w:hAnsi="仿宋" w:eastAsia="仿宋_GB2312"/>
          <w:color w:val="000000"/>
          <w:sz w:val="32"/>
          <w:szCs w:val="32"/>
        </w:rPr>
        <w:t>一般公共服务支出（类）</w:t>
      </w:r>
      <w:r>
        <w:rPr>
          <w:rFonts w:ascii="仿宋_GB2312" w:eastAsia="仿宋_GB2312"/>
          <w:color w:val="000000"/>
          <w:sz w:val="32"/>
          <w:szCs w:val="32"/>
        </w:rPr>
        <w:t>426.41</w:t>
      </w:r>
      <w:r>
        <w:rPr>
          <w:rFonts w:hint="eastAsia" w:ascii="仿宋_GB2312" w:hAnsi="仿宋" w:eastAsia="仿宋_GB2312"/>
          <w:color w:val="000000"/>
          <w:sz w:val="32"/>
          <w:szCs w:val="32"/>
        </w:rPr>
        <w:t>万元，占</w:t>
      </w:r>
      <w:r>
        <w:rPr>
          <w:rFonts w:ascii="仿宋_GB2312" w:hAnsi="仿宋" w:eastAsia="仿宋_GB2312"/>
          <w:color w:val="000000"/>
          <w:sz w:val="32"/>
          <w:szCs w:val="32"/>
        </w:rPr>
        <w:t>81.81 %</w:t>
      </w:r>
      <w:r>
        <w:rPr>
          <w:rFonts w:hint="eastAsia" w:ascii="仿宋_GB2312" w:hAnsi="仿宋" w:eastAsia="仿宋_GB2312"/>
          <w:color w:val="000000"/>
          <w:sz w:val="32"/>
          <w:szCs w:val="32"/>
        </w:rPr>
        <w:t>；</w:t>
      </w:r>
      <w:r>
        <w:rPr>
          <w:rFonts w:hint="eastAsia" w:ascii="仿宋_GB2312" w:eastAsia="仿宋_GB2312"/>
          <w:color w:val="000000"/>
          <w:sz w:val="32"/>
          <w:szCs w:val="32"/>
        </w:rPr>
        <w:t>社会保障和就业支出</w:t>
      </w:r>
      <w:r>
        <w:rPr>
          <w:rFonts w:ascii="仿宋_GB2312" w:eastAsia="仿宋_GB2312"/>
          <w:color w:val="000000"/>
          <w:sz w:val="32"/>
          <w:szCs w:val="32"/>
        </w:rPr>
        <w:t>56.33</w:t>
      </w:r>
      <w:r>
        <w:rPr>
          <w:rFonts w:hint="eastAsia" w:ascii="仿宋_GB2312" w:eastAsia="仿宋_GB2312"/>
          <w:color w:val="000000"/>
          <w:sz w:val="32"/>
          <w:szCs w:val="32"/>
        </w:rPr>
        <w:t>万元</w:t>
      </w:r>
      <w:r>
        <w:rPr>
          <w:rFonts w:hint="eastAsia" w:ascii="仿宋_GB2312" w:hAnsi="仿宋" w:eastAsia="仿宋_GB2312"/>
          <w:color w:val="000000"/>
          <w:sz w:val="32"/>
          <w:szCs w:val="32"/>
        </w:rPr>
        <w:t>，占</w:t>
      </w:r>
      <w:r>
        <w:rPr>
          <w:rFonts w:ascii="仿宋_GB2312" w:hAnsi="仿宋" w:eastAsia="仿宋_GB2312"/>
          <w:color w:val="000000"/>
          <w:sz w:val="32"/>
          <w:szCs w:val="32"/>
        </w:rPr>
        <w:t>10.81%</w:t>
      </w:r>
      <w:r>
        <w:rPr>
          <w:rFonts w:hint="eastAsia" w:ascii="仿宋_GB2312" w:hAnsi="仿宋" w:eastAsia="仿宋_GB2312"/>
          <w:color w:val="000000"/>
          <w:sz w:val="32"/>
          <w:szCs w:val="32"/>
        </w:rPr>
        <w:t>；</w:t>
      </w:r>
      <w:r>
        <w:rPr>
          <w:rFonts w:hint="eastAsia" w:ascii="仿宋_GB2312" w:eastAsia="仿宋_GB2312"/>
          <w:color w:val="000000"/>
          <w:sz w:val="32"/>
          <w:szCs w:val="32"/>
        </w:rPr>
        <w:t>住房保障支出</w:t>
      </w:r>
      <w:r>
        <w:rPr>
          <w:rFonts w:ascii="仿宋_GB2312" w:eastAsia="仿宋_GB2312"/>
          <w:color w:val="000000"/>
          <w:sz w:val="32"/>
          <w:szCs w:val="32"/>
        </w:rPr>
        <w:t>38.45</w:t>
      </w:r>
      <w:r>
        <w:rPr>
          <w:rFonts w:hint="eastAsia" w:ascii="仿宋_GB2312" w:eastAsia="仿宋_GB2312"/>
          <w:color w:val="000000"/>
          <w:sz w:val="32"/>
          <w:szCs w:val="32"/>
        </w:rPr>
        <w:t>万元，占</w:t>
      </w:r>
      <w:r>
        <w:rPr>
          <w:rFonts w:ascii="仿宋_GB2312" w:eastAsia="仿宋_GB2312"/>
          <w:color w:val="000000"/>
          <w:sz w:val="32"/>
          <w:szCs w:val="32"/>
        </w:rPr>
        <w:t>7.38%</w:t>
      </w:r>
      <w:r>
        <w:rPr>
          <w:rFonts w:hint="eastAsia" w:ascii="仿宋_GB2312" w:hAnsi="仿宋" w:eastAsia="仿宋_GB2312"/>
          <w:color w:val="000000"/>
          <w:sz w:val="32"/>
          <w:szCs w:val="32"/>
        </w:rPr>
        <w:t>。</w:t>
      </w:r>
    </w:p>
    <w:p>
      <w:pPr>
        <w:spacing w:line="550" w:lineRule="exact"/>
        <w:rPr>
          <w:rFonts w:ascii="仿宋_GB2312" w:hAnsi="仿宋" w:eastAsia="仿宋_GB2312"/>
          <w:color w:val="000000"/>
          <w:sz w:val="32"/>
          <w:szCs w:val="32"/>
        </w:rPr>
      </w:pPr>
      <w:r>
        <w:rPr>
          <w:rFonts w:ascii="仿宋" w:hAnsi="仿宋" w:eastAsia="仿宋"/>
          <w:color w:val="000000"/>
          <w:sz w:val="32"/>
          <w:szCs w:val="32"/>
        </w:rPr>
        <w:t xml:space="preserve">  </w:t>
      </w:r>
      <w:r>
        <w:rPr>
          <w:rFonts w:ascii="仿宋" w:hAnsi="仿宋" w:eastAsia="仿宋" w:cs="楷体_GB2312"/>
          <w:b/>
          <w:color w:val="000000"/>
          <w:sz w:val="32"/>
          <w:szCs w:val="32"/>
        </w:rPr>
        <w:t xml:space="preserve"> </w:t>
      </w:r>
      <w:r>
        <w:rPr>
          <w:rFonts w:ascii="仿宋_GB2312" w:hAnsi="仿宋" w:eastAsia="仿宋_GB2312" w:cs="楷体_GB2312"/>
          <w:b/>
          <w:color w:val="000000"/>
          <w:sz w:val="32"/>
          <w:szCs w:val="32"/>
        </w:rPr>
        <w:t xml:space="preserve"> 3.</w:t>
      </w:r>
      <w:r>
        <w:rPr>
          <w:rFonts w:hint="eastAsia" w:ascii="仿宋_GB2312" w:hAnsi="仿宋" w:eastAsia="仿宋_GB2312" w:cs="楷体_GB2312"/>
          <w:b/>
          <w:color w:val="000000"/>
          <w:sz w:val="32"/>
          <w:szCs w:val="32"/>
        </w:rPr>
        <w:t>一般公共预算当年拨款具体使用情况</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1</w:t>
      </w:r>
      <w:r>
        <w:rPr>
          <w:rFonts w:hint="eastAsia" w:ascii="仿宋_GB2312" w:hAnsi="仿宋" w:eastAsia="仿宋_GB2312"/>
          <w:color w:val="000000"/>
          <w:sz w:val="32"/>
          <w:szCs w:val="32"/>
        </w:rPr>
        <w:t>）一般公共服务支出（类）民主党派及工商联事务（款）行政运行（项）事务</w:t>
      </w:r>
      <w:r>
        <w:rPr>
          <w:rFonts w:ascii="仿宋_GB2312" w:hAnsi="仿宋" w:eastAsia="仿宋_GB2312"/>
          <w:color w:val="000000"/>
          <w:sz w:val="32"/>
          <w:szCs w:val="32"/>
        </w:rPr>
        <w:t>304.72</w:t>
      </w:r>
      <w:r>
        <w:rPr>
          <w:rFonts w:hint="eastAsia" w:ascii="仿宋_GB2312" w:hAnsi="仿宋" w:eastAsia="仿宋_GB2312"/>
          <w:color w:val="000000"/>
          <w:sz w:val="32"/>
          <w:szCs w:val="32"/>
        </w:rPr>
        <w:t>万元，事业运行</w:t>
      </w:r>
      <w:r>
        <w:rPr>
          <w:rFonts w:ascii="仿宋_GB2312" w:hAnsi="仿宋" w:eastAsia="仿宋_GB2312"/>
          <w:color w:val="000000"/>
          <w:sz w:val="32"/>
          <w:szCs w:val="32"/>
        </w:rPr>
        <w:t>(</w:t>
      </w:r>
      <w:r>
        <w:rPr>
          <w:rFonts w:hint="eastAsia" w:ascii="仿宋_GB2312" w:hAnsi="仿宋" w:eastAsia="仿宋_GB2312"/>
          <w:color w:val="000000"/>
          <w:sz w:val="32"/>
          <w:szCs w:val="32"/>
        </w:rPr>
        <w:t>项</w:t>
      </w:r>
      <w:r>
        <w:rPr>
          <w:rFonts w:ascii="仿宋_GB2312" w:hAnsi="仿宋" w:eastAsia="仿宋_GB2312"/>
          <w:color w:val="000000"/>
          <w:sz w:val="32"/>
          <w:szCs w:val="32"/>
        </w:rPr>
        <w:t>)41.33</w:t>
      </w:r>
      <w:r>
        <w:rPr>
          <w:rFonts w:hint="eastAsia" w:ascii="仿宋_GB2312" w:hAnsi="仿宋" w:eastAsia="仿宋_GB2312"/>
          <w:color w:val="000000"/>
          <w:sz w:val="32"/>
          <w:szCs w:val="32"/>
        </w:rPr>
        <w:t>万元</w:t>
      </w:r>
      <w:r>
        <w:rPr>
          <w:rFonts w:ascii="仿宋_GB2312" w:hAnsi="仿宋" w:eastAsia="仿宋_GB2312"/>
          <w:color w:val="000000"/>
          <w:sz w:val="32"/>
          <w:szCs w:val="32"/>
        </w:rPr>
        <w:t>,</w:t>
      </w:r>
      <w:r>
        <w:rPr>
          <w:rFonts w:hint="eastAsia" w:ascii="仿宋_GB2312" w:hAnsi="仿宋" w:eastAsia="仿宋_GB2312"/>
          <w:color w:val="000000"/>
          <w:sz w:val="32"/>
          <w:szCs w:val="32"/>
        </w:rPr>
        <w:t>主要用于本会基本支出、人员经费和公用经费等。</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2</w:t>
      </w:r>
      <w:r>
        <w:rPr>
          <w:rFonts w:hint="eastAsia" w:ascii="仿宋_GB2312" w:hAnsi="仿宋" w:eastAsia="仿宋_GB2312"/>
          <w:color w:val="000000"/>
          <w:sz w:val="32"/>
          <w:szCs w:val="32"/>
        </w:rPr>
        <w:t>）一般公共服务支出（类）民主党派及工商联事务（款）一般行政管理事务（项）事务</w:t>
      </w:r>
      <w:r>
        <w:rPr>
          <w:rFonts w:ascii="仿宋_GB2312" w:hAnsi="仿宋" w:eastAsia="仿宋_GB2312"/>
          <w:color w:val="000000"/>
          <w:sz w:val="32"/>
          <w:szCs w:val="32"/>
        </w:rPr>
        <w:t>80.36</w:t>
      </w:r>
      <w:r>
        <w:rPr>
          <w:rFonts w:hint="eastAsia" w:ascii="仿宋_GB2312" w:hAnsi="仿宋" w:eastAsia="仿宋_GB2312"/>
          <w:color w:val="000000"/>
          <w:sz w:val="32"/>
          <w:szCs w:val="32"/>
        </w:rPr>
        <w:t>万元，主要用于项目支出、会议经费、培训经费和采购经费等。</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3</w:t>
      </w:r>
      <w:r>
        <w:rPr>
          <w:rFonts w:hint="eastAsia" w:ascii="仿宋_GB2312" w:hAnsi="仿宋" w:eastAsia="仿宋_GB2312"/>
          <w:color w:val="000000"/>
          <w:sz w:val="32"/>
          <w:szCs w:val="32"/>
        </w:rPr>
        <w:t>）社会保障和就业支出（类）行政事业单位离退休（款）未归口管理的行政单位离退休（项）事务</w:t>
      </w:r>
      <w:r>
        <w:rPr>
          <w:rFonts w:ascii="仿宋_GB2312" w:hAnsi="仿宋" w:eastAsia="仿宋_GB2312"/>
          <w:color w:val="000000"/>
          <w:sz w:val="32"/>
          <w:szCs w:val="32"/>
        </w:rPr>
        <w:t>15.55</w:t>
      </w:r>
      <w:r>
        <w:rPr>
          <w:rFonts w:hint="eastAsia" w:ascii="仿宋_GB2312" w:hAnsi="仿宋" w:eastAsia="仿宋_GB2312"/>
          <w:color w:val="000000"/>
          <w:sz w:val="32"/>
          <w:szCs w:val="32"/>
        </w:rPr>
        <w:t>万元，主要用于</w:t>
      </w:r>
      <w:r>
        <w:rPr>
          <w:rFonts w:hint="eastAsia" w:ascii="仿宋_GB2312" w:hAnsi="仿宋_GB2312" w:eastAsia="仿宋_GB2312" w:cs="仿宋_GB2312"/>
          <w:sz w:val="30"/>
          <w:szCs w:val="30"/>
        </w:rPr>
        <w:t>未实行归口管理的行政单位开支的离退休支出</w:t>
      </w:r>
      <w:r>
        <w:rPr>
          <w:rFonts w:hint="eastAsia" w:ascii="仿宋_GB2312" w:hAnsi="仿宋_GB2312" w:eastAsia="仿宋_GB2312" w:cs="仿宋_GB2312"/>
          <w:color w:val="000000"/>
          <w:sz w:val="30"/>
          <w:szCs w:val="30"/>
        </w:rPr>
        <w:t>。</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4</w:t>
      </w:r>
      <w:r>
        <w:rPr>
          <w:rFonts w:hint="eastAsia" w:ascii="仿宋_GB2312" w:hAnsi="仿宋" w:eastAsia="仿宋_GB2312"/>
          <w:color w:val="000000"/>
          <w:sz w:val="32"/>
          <w:szCs w:val="32"/>
        </w:rPr>
        <w:t>）社会保障和就业支出（类）行政事业单位离退休（款）机关事业单位基本养老保险缴费（项）事务</w:t>
      </w:r>
      <w:r>
        <w:rPr>
          <w:rFonts w:ascii="仿宋_GB2312" w:hAnsi="仿宋" w:eastAsia="仿宋_GB2312"/>
          <w:color w:val="000000"/>
          <w:sz w:val="32"/>
          <w:szCs w:val="32"/>
        </w:rPr>
        <w:t>29.13</w:t>
      </w:r>
      <w:r>
        <w:rPr>
          <w:rFonts w:hint="eastAsia" w:ascii="仿宋_GB2312" w:hAnsi="仿宋" w:eastAsia="仿宋_GB2312"/>
          <w:color w:val="000000"/>
          <w:sz w:val="32"/>
          <w:szCs w:val="32"/>
        </w:rPr>
        <w:t>万元，主要用于养老保险缴费。</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5</w:t>
      </w:r>
      <w:r>
        <w:rPr>
          <w:rFonts w:hint="eastAsia" w:ascii="仿宋_GB2312" w:hAnsi="仿宋" w:eastAsia="仿宋_GB2312"/>
          <w:color w:val="000000"/>
          <w:sz w:val="32"/>
          <w:szCs w:val="32"/>
        </w:rPr>
        <w:t>）社会保障和就业支出（类）行政事业单位离退休（款）机关事业单位职业年金缴费（项）事务</w:t>
      </w:r>
      <w:r>
        <w:rPr>
          <w:rFonts w:ascii="仿宋_GB2312" w:hAnsi="仿宋" w:eastAsia="仿宋_GB2312"/>
          <w:color w:val="000000"/>
          <w:sz w:val="32"/>
          <w:szCs w:val="32"/>
        </w:rPr>
        <w:t>11.65</w:t>
      </w:r>
      <w:r>
        <w:rPr>
          <w:rFonts w:hint="eastAsia" w:ascii="仿宋_GB2312" w:hAnsi="仿宋" w:eastAsia="仿宋_GB2312"/>
          <w:color w:val="000000"/>
          <w:sz w:val="32"/>
          <w:szCs w:val="32"/>
        </w:rPr>
        <w:t>万元，主要用于职业年金缴费。</w:t>
      </w:r>
    </w:p>
    <w:p>
      <w:pPr>
        <w:spacing w:line="550" w:lineRule="exact"/>
        <w:ind w:firstLine="640"/>
        <w:jc w:val="left"/>
        <w:rPr>
          <w:rFonts w:ascii="仿宋_GB2312" w:hAnsi="仿宋" w:eastAsia="仿宋_GB2312"/>
          <w:color w:val="000000"/>
          <w:sz w:val="32"/>
          <w:szCs w:val="32"/>
        </w:rPr>
      </w:pPr>
      <w:r>
        <w:rPr>
          <w:rFonts w:hint="eastAsia" w:ascii="仿宋_GB2312" w:hAnsi="仿宋" w:eastAsia="仿宋_GB2312"/>
          <w:color w:val="000000"/>
          <w:sz w:val="32"/>
          <w:szCs w:val="32"/>
        </w:rPr>
        <w:t>（</w:t>
      </w:r>
      <w:r>
        <w:rPr>
          <w:rFonts w:ascii="仿宋_GB2312" w:hAnsi="仿宋" w:eastAsia="仿宋_GB2312"/>
          <w:color w:val="000000"/>
          <w:sz w:val="32"/>
          <w:szCs w:val="32"/>
        </w:rPr>
        <w:t>6</w:t>
      </w:r>
      <w:r>
        <w:rPr>
          <w:rFonts w:hint="eastAsia" w:ascii="仿宋_GB2312" w:hAnsi="仿宋" w:eastAsia="仿宋_GB2312"/>
          <w:color w:val="000000"/>
          <w:sz w:val="32"/>
          <w:szCs w:val="32"/>
        </w:rPr>
        <w:t>）住房保障支出（类）住房改革支出（款）住房公积金（项）事务</w:t>
      </w:r>
      <w:r>
        <w:rPr>
          <w:rFonts w:ascii="仿宋_GB2312" w:hAnsi="仿宋" w:eastAsia="仿宋_GB2312"/>
          <w:color w:val="000000"/>
          <w:sz w:val="32"/>
          <w:szCs w:val="32"/>
        </w:rPr>
        <w:t>38.45</w:t>
      </w:r>
      <w:r>
        <w:rPr>
          <w:rFonts w:hint="eastAsia" w:ascii="仿宋_GB2312" w:hAnsi="仿宋" w:eastAsia="仿宋_GB2312"/>
          <w:color w:val="000000"/>
          <w:sz w:val="32"/>
          <w:szCs w:val="32"/>
        </w:rPr>
        <w:t>万元，主要用于住房公积金缴费。</w:t>
      </w:r>
    </w:p>
    <w:p>
      <w:pPr>
        <w:spacing w:line="550" w:lineRule="exact"/>
        <w:rPr>
          <w:rFonts w:ascii="楷体_GB2312" w:hAnsi="楷体_GB2312" w:eastAsia="楷体_GB2312" w:cs="楷体_GB2312"/>
          <w:b/>
          <w:color w:val="000000"/>
          <w:sz w:val="32"/>
          <w:szCs w:val="32"/>
        </w:rPr>
      </w:pPr>
      <w:r>
        <w:rPr>
          <w:rFonts w:ascii="楷体_GB2312" w:hAnsi="楷体_GB2312" w:eastAsia="楷体_GB2312" w:cs="楷体_GB2312"/>
          <w:b/>
          <w:color w:val="000000"/>
          <w:sz w:val="32"/>
          <w:szCs w:val="32"/>
        </w:rPr>
        <w:t xml:space="preserve">    </w:t>
      </w:r>
      <w:r>
        <w:rPr>
          <w:rFonts w:hint="eastAsia" w:ascii="楷体_GB2312" w:hAnsi="楷体_GB2312" w:eastAsia="楷体_GB2312" w:cs="楷体_GB2312"/>
          <w:b/>
          <w:color w:val="000000"/>
          <w:sz w:val="32"/>
          <w:szCs w:val="32"/>
        </w:rPr>
        <w:t>（六）关于工商业联合会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年一般公共预算基本支出情况说明</w:t>
      </w:r>
    </w:p>
    <w:p>
      <w:pPr>
        <w:spacing w:line="550" w:lineRule="exact"/>
        <w:ind w:firstLine="642"/>
        <w:rPr>
          <w:rFonts w:ascii="仿宋_GB2312" w:eastAsia="仿宋_GB2312"/>
          <w:color w:val="000000"/>
          <w:sz w:val="32"/>
          <w:szCs w:val="32"/>
        </w:rPr>
      </w:pPr>
      <w:r>
        <w:rPr>
          <w:rFonts w:hint="eastAsia" w:ascii="楷体_GB2312" w:hAnsi="楷体_GB2312" w:eastAsia="楷体_GB2312" w:cs="楷体_GB2312"/>
          <w:color w:val="000000"/>
          <w:sz w:val="32"/>
          <w:szCs w:val="32"/>
        </w:rPr>
        <w:t>工商业联合会</w:t>
      </w:r>
      <w:r>
        <w:rPr>
          <w:rFonts w:ascii="仿宋_GB2312" w:eastAsia="仿宋_GB2312"/>
          <w:color w:val="000000"/>
          <w:sz w:val="32"/>
          <w:szCs w:val="32"/>
        </w:rPr>
        <w:t>2018</w:t>
      </w:r>
      <w:r>
        <w:rPr>
          <w:rFonts w:hint="eastAsia" w:ascii="仿宋_GB2312" w:eastAsia="仿宋_GB2312"/>
          <w:color w:val="000000"/>
          <w:sz w:val="32"/>
          <w:szCs w:val="32"/>
        </w:rPr>
        <w:t>年一般公共预算基本支出</w:t>
      </w:r>
      <w:r>
        <w:rPr>
          <w:rFonts w:ascii="仿宋_GB2312" w:eastAsia="仿宋_GB2312"/>
          <w:color w:val="000000"/>
          <w:sz w:val="32"/>
          <w:szCs w:val="32"/>
        </w:rPr>
        <w:t>440.83</w:t>
      </w:r>
      <w:r>
        <w:rPr>
          <w:rFonts w:hint="eastAsia" w:ascii="仿宋_GB2312" w:eastAsia="仿宋_GB2312"/>
          <w:color w:val="000000"/>
          <w:sz w:val="32"/>
          <w:szCs w:val="32"/>
        </w:rPr>
        <w:t>万元，其中：</w:t>
      </w:r>
    </w:p>
    <w:p>
      <w:pPr>
        <w:spacing w:line="550" w:lineRule="exact"/>
        <w:ind w:firstLine="642"/>
        <w:rPr>
          <w:rFonts w:ascii="仿宋_GB2312" w:eastAsia="仿宋_GB2312"/>
          <w:color w:val="000000"/>
          <w:sz w:val="32"/>
          <w:szCs w:val="32"/>
        </w:rPr>
      </w:pPr>
      <w:r>
        <w:rPr>
          <w:rFonts w:hint="eastAsia" w:ascii="仿宋_GB2312" w:eastAsia="仿宋_GB2312"/>
          <w:color w:val="000000"/>
          <w:sz w:val="32"/>
          <w:szCs w:val="32"/>
        </w:rPr>
        <w:t>人员经费</w:t>
      </w:r>
      <w:r>
        <w:rPr>
          <w:rFonts w:ascii="仿宋_GB2312" w:eastAsia="仿宋_GB2312"/>
          <w:color w:val="000000"/>
          <w:sz w:val="32"/>
          <w:szCs w:val="32"/>
        </w:rPr>
        <w:t>358.75</w:t>
      </w:r>
      <w:r>
        <w:rPr>
          <w:rFonts w:hint="eastAsia" w:ascii="仿宋_GB2312" w:eastAsia="仿宋_GB2312"/>
          <w:color w:val="000000"/>
          <w:sz w:val="32"/>
          <w:szCs w:val="32"/>
        </w:rPr>
        <w:t>万元，主要包括：基本工资、津贴补贴、奖金、绩效工资、机关事业单位基本养老保险缴费、职业年金缴费、职工基本医疗保险缴费、公务员医疗补助缴费、其他社会保障缴费、住房公积金、其他工资福利支出、离休费、退休费、退职（役）费、抚恤金、生活补助、医疗费补助、奖励金、其他对个人和家庭的补助支出；</w:t>
      </w:r>
    </w:p>
    <w:p>
      <w:pPr>
        <w:spacing w:line="550" w:lineRule="exact"/>
        <w:ind w:firstLine="642"/>
        <w:rPr>
          <w:rFonts w:ascii="仿宋_GB2312" w:eastAsia="仿宋_GB2312"/>
          <w:color w:val="000000"/>
          <w:sz w:val="32"/>
          <w:szCs w:val="32"/>
        </w:rPr>
      </w:pPr>
      <w:r>
        <w:rPr>
          <w:rFonts w:hint="eastAsia" w:ascii="仿宋_GB2312" w:eastAsia="仿宋_GB2312"/>
          <w:color w:val="000000"/>
          <w:sz w:val="32"/>
          <w:szCs w:val="32"/>
        </w:rPr>
        <w:t>公用经费</w:t>
      </w:r>
      <w:r>
        <w:rPr>
          <w:rFonts w:ascii="仿宋_GB2312" w:eastAsia="仿宋_GB2312"/>
          <w:color w:val="000000"/>
          <w:sz w:val="32"/>
          <w:szCs w:val="32"/>
        </w:rPr>
        <w:t>82.08</w:t>
      </w:r>
      <w:r>
        <w:rPr>
          <w:rFonts w:hint="eastAsia" w:ascii="仿宋_GB2312" w:eastAsia="仿宋_GB2312"/>
          <w:color w:val="000000"/>
          <w:sz w:val="32"/>
          <w:szCs w:val="32"/>
        </w:rPr>
        <w:t>万元，主要包括：办公费、印刷费、咨询费、手续费、水费、电费、邮电费、物业管理费、差旅费、维修（护）费、租赁费、会议费、培训费、公务接待费、专用材料费、劳务费、委托业务费、工会经费、福利费、公务用车运行维护费、其他交通费用、其他商品和服务支出。</w:t>
      </w:r>
    </w:p>
    <w:p>
      <w:pPr>
        <w:spacing w:line="550" w:lineRule="exact"/>
        <w:ind w:firstLine="642"/>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（七）关于工商业联合会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年政府性基金预算支出情况说明</w:t>
      </w:r>
    </w:p>
    <w:p>
      <w:pPr>
        <w:spacing w:line="550" w:lineRule="exact"/>
        <w:rPr>
          <w:rFonts w:ascii="仿宋_GB2312" w:eastAsia="仿宋_GB2312"/>
          <w:color w:val="000000"/>
          <w:sz w:val="32"/>
          <w:szCs w:val="32"/>
        </w:rPr>
      </w:pPr>
      <w:r>
        <w:rPr>
          <w:rFonts w:ascii="仿宋_GB2312" w:eastAsia="仿宋_GB2312"/>
          <w:color w:val="000000"/>
          <w:sz w:val="32"/>
          <w:szCs w:val="32"/>
        </w:rPr>
        <w:t xml:space="preserve">   </w:t>
      </w:r>
      <w:r>
        <w:rPr>
          <w:rFonts w:hint="eastAsia" w:ascii="仿宋_GB2312" w:eastAsia="仿宋_GB2312"/>
          <w:color w:val="000000"/>
          <w:sz w:val="32"/>
          <w:szCs w:val="32"/>
        </w:rPr>
        <w:t>工商业联合会</w:t>
      </w:r>
      <w:r>
        <w:rPr>
          <w:rFonts w:ascii="仿宋_GB2312" w:eastAsia="仿宋_GB2312"/>
          <w:color w:val="000000"/>
          <w:sz w:val="32"/>
          <w:szCs w:val="32"/>
        </w:rPr>
        <w:t>2018</w:t>
      </w:r>
      <w:r>
        <w:rPr>
          <w:rFonts w:hint="eastAsia" w:ascii="仿宋_GB2312" w:eastAsia="仿宋_GB2312"/>
          <w:color w:val="000000"/>
          <w:sz w:val="32"/>
          <w:szCs w:val="32"/>
        </w:rPr>
        <w:t>年没有使用政府性基金预算拨款安排的支出。</w:t>
      </w:r>
    </w:p>
    <w:p>
      <w:pPr>
        <w:spacing w:line="560" w:lineRule="exact"/>
        <w:ind w:firstLine="630" w:firstLineChars="196"/>
        <w:rPr>
          <w:rFonts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（八）关于工商业联合会</w:t>
      </w:r>
      <w:r>
        <w:rPr>
          <w:rFonts w:ascii="楷体_GB2312" w:hAnsi="楷体_GB2312" w:eastAsia="楷体_GB2312" w:cs="楷体_GB2312"/>
          <w:b/>
          <w:color w:val="000000"/>
          <w:sz w:val="32"/>
          <w:szCs w:val="32"/>
        </w:rPr>
        <w:t>2018</w:t>
      </w:r>
      <w:r>
        <w:rPr>
          <w:rFonts w:hint="eastAsia" w:ascii="楷体_GB2312" w:hAnsi="楷体_GB2312" w:eastAsia="楷体_GB2312" w:cs="楷体_GB2312"/>
          <w:b/>
          <w:color w:val="000000"/>
          <w:sz w:val="32"/>
          <w:szCs w:val="32"/>
        </w:rPr>
        <w:t>年</w:t>
      </w:r>
      <w:r>
        <w:rPr>
          <w:rFonts w:hint="eastAsia" w:ascii="楷体_GB2312" w:hAnsi="楷体_GB2312" w:eastAsia="楷体_GB2312" w:cs="楷体_GB2312"/>
          <w:b/>
          <w:sz w:val="32"/>
          <w:szCs w:val="32"/>
        </w:rPr>
        <w:t>一般公共预算</w:t>
      </w:r>
      <w:r>
        <w:rPr>
          <w:rFonts w:hint="eastAsia" w:ascii="楷体_GB2312" w:hAnsi="楷体_GB2312" w:eastAsia="楷体_GB2312" w:cs="楷体_GB2312"/>
          <w:b/>
          <w:color w:val="000000"/>
          <w:sz w:val="32"/>
          <w:szCs w:val="32"/>
        </w:rPr>
        <w:t>“三公”经费预算情况说明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1" w:afterAutospacing="1"/>
        <w:ind w:firstLine="640" w:firstLineChars="200"/>
        <w:jc w:val="both"/>
        <w:textAlignment w:val="auto"/>
        <w:outlineLvl w:val="9"/>
        <w:rPr>
          <w:rFonts w:hint="eastAsia" w:ascii="仿宋_GB2312" w:hAnsi="仿宋_GB2312" w:eastAsia="仿宋_GB2312" w:cs="仿宋_GB2312"/>
          <w:sz w:val="30"/>
          <w:szCs w:val="30"/>
        </w:rPr>
      </w:pPr>
      <w:r>
        <w:rPr>
          <w:rFonts w:ascii="仿宋_GB2312" w:eastAsia="仿宋_GB2312"/>
          <w:sz w:val="32"/>
          <w:szCs w:val="32"/>
        </w:rPr>
        <w:t>1.</w:t>
      </w:r>
      <w:r>
        <w:rPr>
          <w:rFonts w:hint="eastAsia" w:ascii="仿宋_GB2312" w:eastAsia="仿宋_GB2312"/>
          <w:sz w:val="32"/>
          <w:szCs w:val="32"/>
        </w:rPr>
        <w:t>因公出国（境）费用：我市因公出国（境）经费实行归口管理、统筹安排，</w:t>
      </w:r>
      <w:r>
        <w:rPr>
          <w:rFonts w:ascii="仿宋_GB2312" w:eastAsia="仿宋_GB2312"/>
          <w:sz w:val="32"/>
          <w:szCs w:val="32"/>
        </w:rPr>
        <w:t>2018</w:t>
      </w:r>
      <w:r>
        <w:rPr>
          <w:rFonts w:hint="eastAsia" w:ascii="仿宋_GB2312" w:eastAsia="仿宋_GB2312"/>
          <w:sz w:val="32"/>
          <w:szCs w:val="32"/>
        </w:rPr>
        <w:t>年安排集中管理市级因公出国（境）团组费用预算</w:t>
      </w:r>
      <w:r>
        <w:rPr>
          <w:rFonts w:ascii="仿宋_GB2312" w:eastAsia="仿宋_GB2312"/>
          <w:sz w:val="32"/>
          <w:szCs w:val="32"/>
        </w:rPr>
        <w:t>0</w:t>
      </w:r>
      <w:r>
        <w:rPr>
          <w:rFonts w:hint="eastAsia" w:ascii="仿宋_GB2312" w:eastAsia="仿宋_GB2312"/>
          <w:sz w:val="32"/>
          <w:szCs w:val="32"/>
        </w:rPr>
        <w:t>万元，比上年执行数减少</w:t>
      </w:r>
      <w:r>
        <w:rPr>
          <w:rFonts w:ascii="仿宋_GB2312" w:eastAsia="仿宋_GB2312"/>
          <w:sz w:val="32"/>
          <w:szCs w:val="32"/>
        </w:rPr>
        <w:t>0%</w:t>
      </w:r>
      <w:r>
        <w:rPr>
          <w:rFonts w:hint="eastAsia" w:ascii="仿宋_GB2312" w:eastAsia="仿宋_GB2312"/>
          <w:sz w:val="32"/>
          <w:szCs w:val="32"/>
        </w:rPr>
        <w:t>。</w:t>
      </w:r>
      <w:r>
        <w:rPr>
          <w:rFonts w:hint="eastAsia" w:ascii="仿宋_GB2312" w:hAnsi="仿宋_GB2312" w:eastAsia="仿宋_GB2312" w:cs="仿宋_GB2312"/>
          <w:sz w:val="30"/>
          <w:szCs w:val="30"/>
        </w:rPr>
        <w:t>减少的主要原因是2018年因公出国（境）经费实行归口管理，由市财政统筹安排，不再单独安排预算。</w:t>
      </w:r>
    </w:p>
    <w:p>
      <w:pPr>
        <w:pStyle w:val="12"/>
        <w:widowControl w:val="0"/>
        <w:spacing w:line="560" w:lineRule="exact"/>
        <w:ind w:firstLine="640" w:firstLineChars="200"/>
        <w:rPr>
          <w:rFonts w:hint="eastAsia" w:ascii="仿宋_GB2312" w:eastAsia="仿宋_GB2312"/>
          <w:sz w:val="32"/>
          <w:szCs w:val="32"/>
          <w:lang w:eastAsia="zh-CN"/>
        </w:rPr>
      </w:pPr>
      <w:r>
        <w:rPr>
          <w:rFonts w:ascii="仿宋_GB2312" w:eastAsia="仿宋_GB2312"/>
          <w:sz w:val="32"/>
          <w:szCs w:val="32"/>
        </w:rPr>
        <w:t>2.</w:t>
      </w:r>
      <w:r>
        <w:rPr>
          <w:rFonts w:hint="eastAsia" w:ascii="仿宋_GB2312" w:eastAsia="仿宋_GB2312"/>
          <w:sz w:val="32"/>
          <w:szCs w:val="32"/>
        </w:rPr>
        <w:t>公务接待费：</w:t>
      </w:r>
      <w:r>
        <w:rPr>
          <w:rFonts w:ascii="仿宋_GB2312" w:eastAsia="仿宋_GB2312"/>
          <w:sz w:val="32"/>
          <w:szCs w:val="32"/>
        </w:rPr>
        <w:t>2018</w:t>
      </w:r>
      <w:r>
        <w:rPr>
          <w:rFonts w:hint="eastAsia" w:ascii="仿宋_GB2312" w:eastAsia="仿宋_GB2312"/>
          <w:sz w:val="32"/>
          <w:szCs w:val="32"/>
        </w:rPr>
        <w:t>年安排公务接待费预算</w:t>
      </w:r>
      <w:r>
        <w:rPr>
          <w:rFonts w:ascii="仿宋_GB2312" w:eastAsia="仿宋_GB2312"/>
          <w:sz w:val="32"/>
          <w:szCs w:val="32"/>
        </w:rPr>
        <w:t>4</w:t>
      </w:r>
      <w:r>
        <w:rPr>
          <w:rFonts w:hint="eastAsia" w:ascii="仿宋_GB2312" w:eastAsia="仿宋_GB2312"/>
          <w:sz w:val="32"/>
          <w:szCs w:val="32"/>
        </w:rPr>
        <w:t>万元，比上</w:t>
      </w:r>
      <w:r>
        <w:rPr>
          <w:rFonts w:hint="eastAsia" w:ascii="仿宋_GB2312" w:eastAsia="仿宋_GB2312"/>
          <w:sz w:val="32"/>
          <w:szCs w:val="32"/>
          <w:highlight w:val="none"/>
        </w:rPr>
        <w:t>年执行数增长</w:t>
      </w:r>
      <w:r>
        <w:rPr>
          <w:rFonts w:hint="eastAsia" w:ascii="仿宋_GB2312" w:eastAsia="仿宋_GB2312"/>
          <w:sz w:val="32"/>
          <w:szCs w:val="32"/>
          <w:highlight w:val="none"/>
          <w:lang w:val="en-US" w:eastAsia="zh-CN"/>
        </w:rPr>
        <w:t>200.75</w:t>
      </w:r>
      <w:r>
        <w:rPr>
          <w:rFonts w:ascii="仿宋_GB2312" w:eastAsia="仿宋_GB2312"/>
          <w:sz w:val="32"/>
          <w:szCs w:val="32"/>
          <w:highlight w:val="none"/>
        </w:rPr>
        <w:t>%</w:t>
      </w:r>
      <w:r>
        <w:rPr>
          <w:rFonts w:hint="eastAsia" w:ascii="仿宋_GB2312" w:eastAsia="仿宋_GB2312"/>
          <w:sz w:val="32"/>
          <w:szCs w:val="32"/>
          <w:highlight w:val="none"/>
        </w:rPr>
        <w:t>。主</w:t>
      </w:r>
      <w:r>
        <w:rPr>
          <w:rFonts w:hint="eastAsia" w:ascii="仿宋_GB2312" w:eastAsia="仿宋_GB2312"/>
          <w:sz w:val="32"/>
          <w:szCs w:val="32"/>
        </w:rPr>
        <w:t>要用于接待外地工商联、异地商会、国外工商社团</w:t>
      </w:r>
      <w:r>
        <w:rPr>
          <w:rFonts w:hint="eastAsia" w:ascii="仿宋_GB2312" w:eastAsia="仿宋_GB2312"/>
          <w:sz w:val="32"/>
          <w:szCs w:val="32"/>
          <w:lang w:eastAsia="zh-CN"/>
        </w:rPr>
        <w:t>前来参观学习和考察交流</w:t>
      </w:r>
      <w:r>
        <w:rPr>
          <w:rFonts w:hint="eastAsia" w:ascii="仿宋_GB2312" w:eastAsia="仿宋_GB2312"/>
          <w:sz w:val="32"/>
          <w:szCs w:val="32"/>
        </w:rPr>
        <w:t>。</w:t>
      </w:r>
    </w:p>
    <w:p>
      <w:pPr>
        <w:pStyle w:val="12"/>
        <w:widowControl w:val="0"/>
        <w:spacing w:line="560" w:lineRule="exact"/>
        <w:ind w:firstLine="640" w:firstLineChars="200"/>
        <w:rPr>
          <w:rFonts w:ascii="仿宋_GB2312" w:eastAsia="仿宋_GB2312"/>
          <w:b/>
          <w:bCs/>
          <w:sz w:val="32"/>
          <w:szCs w:val="32"/>
        </w:rPr>
      </w:pPr>
      <w:r>
        <w:rPr>
          <w:rFonts w:ascii="仿宋_GB2312" w:eastAsia="仿宋_GB2312"/>
          <w:sz w:val="32"/>
          <w:szCs w:val="32"/>
        </w:rPr>
        <w:t>3.</w:t>
      </w:r>
      <w:r>
        <w:rPr>
          <w:rFonts w:hint="eastAsia" w:ascii="仿宋_GB2312" w:eastAsia="仿宋_GB2312"/>
          <w:sz w:val="32"/>
          <w:szCs w:val="32"/>
        </w:rPr>
        <w:t>公务用车购置及运行维护费：</w:t>
      </w:r>
      <w:r>
        <w:rPr>
          <w:rFonts w:ascii="仿宋_GB2312" w:eastAsia="仿宋_GB2312"/>
          <w:sz w:val="32"/>
          <w:szCs w:val="32"/>
        </w:rPr>
        <w:t>2018</w:t>
      </w:r>
      <w:r>
        <w:rPr>
          <w:rFonts w:hint="eastAsia" w:ascii="仿宋_GB2312" w:eastAsia="仿宋_GB2312"/>
          <w:sz w:val="32"/>
          <w:szCs w:val="32"/>
        </w:rPr>
        <w:t>年安排公务用车购置及运行维护费预算</w:t>
      </w:r>
      <w:r>
        <w:rPr>
          <w:rFonts w:ascii="仿宋_GB2312" w:eastAsia="仿宋_GB2312"/>
          <w:sz w:val="32"/>
          <w:szCs w:val="32"/>
        </w:rPr>
        <w:t>0</w:t>
      </w:r>
      <w:r>
        <w:rPr>
          <w:rFonts w:hint="eastAsia" w:ascii="仿宋_GB2312" w:eastAsia="仿宋_GB2312"/>
          <w:sz w:val="32"/>
          <w:szCs w:val="32"/>
        </w:rPr>
        <w:t>元，比上年执行数下降</w:t>
      </w:r>
      <w:r>
        <w:rPr>
          <w:rFonts w:ascii="仿宋_GB2312" w:eastAsia="仿宋_GB2312"/>
          <w:sz w:val="32"/>
          <w:szCs w:val="32"/>
        </w:rPr>
        <w:t>0%</w:t>
      </w:r>
      <w:r>
        <w:rPr>
          <w:rFonts w:hint="eastAsia" w:ascii="仿宋_GB2312" w:eastAsia="仿宋_GB2312"/>
          <w:sz w:val="32"/>
          <w:szCs w:val="32"/>
        </w:rPr>
        <w:t>。减少的主要原因是公务用车制度改革后本部门无保留公务用车，</w:t>
      </w:r>
      <w:r>
        <w:rPr>
          <w:rFonts w:ascii="仿宋_GB2312" w:eastAsia="仿宋_GB2312"/>
          <w:color w:val="000000"/>
          <w:sz w:val="32"/>
          <w:szCs w:val="32"/>
        </w:rPr>
        <w:t>2018</w:t>
      </w:r>
      <w:r>
        <w:rPr>
          <w:rFonts w:hint="eastAsia" w:ascii="仿宋_GB2312" w:eastAsia="仿宋_GB2312"/>
          <w:color w:val="000000"/>
          <w:sz w:val="32"/>
          <w:szCs w:val="32"/>
        </w:rPr>
        <w:t>年部门预算也未安排购置公务用车</w:t>
      </w:r>
      <w:r>
        <w:rPr>
          <w:rFonts w:hint="eastAsia" w:ascii="仿宋_GB2312" w:eastAsia="仿宋_GB2312"/>
          <w:sz w:val="32"/>
          <w:szCs w:val="32"/>
        </w:rPr>
        <w:t>。</w:t>
      </w:r>
    </w:p>
    <w:p>
      <w:pPr>
        <w:spacing w:line="560" w:lineRule="exact"/>
        <w:ind w:firstLine="630" w:firstLineChars="196"/>
        <w:rPr>
          <w:rFonts w:ascii="楷体_GB2312" w:hAnsi="楷体_GB2312" w:eastAsia="楷体_GB2312" w:cs="楷体_GB2312"/>
          <w:b/>
          <w:sz w:val="32"/>
          <w:szCs w:val="32"/>
        </w:rPr>
      </w:pPr>
      <w:r>
        <w:rPr>
          <w:rFonts w:hint="eastAsia" w:ascii="楷体_GB2312" w:hAnsi="楷体_GB2312" w:eastAsia="楷体_GB2312" w:cs="楷体_GB2312"/>
          <w:b/>
          <w:sz w:val="32"/>
          <w:szCs w:val="32"/>
        </w:rPr>
        <w:t>（九）其他重要事项的情况说明</w:t>
      </w:r>
    </w:p>
    <w:p>
      <w:pPr>
        <w:pStyle w:val="12"/>
        <w:widowControl w:val="0"/>
        <w:spacing w:line="560" w:lineRule="exact"/>
        <w:ind w:firstLine="600"/>
        <w:rPr>
          <w:rFonts w:ascii="仿宋_GB2312" w:eastAsia="仿宋_GB2312"/>
          <w:b/>
          <w:bCs/>
          <w:sz w:val="32"/>
          <w:szCs w:val="32"/>
        </w:rPr>
      </w:pPr>
      <w:r>
        <w:rPr>
          <w:rFonts w:ascii="仿宋_GB2312" w:eastAsia="仿宋_GB2312"/>
          <w:b/>
          <w:bCs/>
          <w:sz w:val="32"/>
          <w:szCs w:val="32"/>
        </w:rPr>
        <w:t>1.</w:t>
      </w:r>
      <w:r>
        <w:rPr>
          <w:rFonts w:hint="eastAsia" w:ascii="仿宋_GB2312" w:eastAsia="仿宋_GB2312"/>
          <w:b/>
          <w:bCs/>
          <w:sz w:val="32"/>
          <w:szCs w:val="32"/>
        </w:rPr>
        <w:t>机关运行经费</w:t>
      </w:r>
    </w:p>
    <w:p>
      <w:pPr>
        <w:pStyle w:val="12"/>
        <w:widowControl w:val="0"/>
        <w:spacing w:line="560" w:lineRule="exact"/>
        <w:ind w:firstLine="640" w:firstLineChars="200"/>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w:t>
      </w:r>
      <w:r>
        <w:rPr>
          <w:rFonts w:hint="eastAsia" w:ascii="仿宋_GB2312" w:eastAsia="仿宋_GB2312"/>
          <w:color w:val="000000"/>
          <w:sz w:val="32"/>
          <w:szCs w:val="32"/>
        </w:rPr>
        <w:t>工商业联合会</w:t>
      </w:r>
      <w:r>
        <w:rPr>
          <w:rFonts w:ascii="仿宋_GB2312" w:eastAsia="仿宋_GB2312"/>
          <w:color w:val="000000"/>
          <w:sz w:val="32"/>
          <w:szCs w:val="32"/>
        </w:rPr>
        <w:t>1</w:t>
      </w:r>
      <w:r>
        <w:rPr>
          <w:rFonts w:hint="eastAsia" w:ascii="仿宋_GB2312" w:eastAsia="仿宋_GB2312"/>
          <w:color w:val="000000"/>
          <w:sz w:val="32"/>
          <w:szCs w:val="32"/>
        </w:rPr>
        <w:t>家行政单位及所属</w:t>
      </w:r>
      <w:r>
        <w:rPr>
          <w:rFonts w:ascii="仿宋_GB2312" w:eastAsia="仿宋_GB2312"/>
          <w:color w:val="000000"/>
          <w:sz w:val="32"/>
          <w:szCs w:val="32"/>
        </w:rPr>
        <w:t>1</w:t>
      </w:r>
      <w:r>
        <w:rPr>
          <w:rFonts w:hint="eastAsia" w:ascii="仿宋_GB2312" w:eastAsia="仿宋_GB2312"/>
          <w:color w:val="000000"/>
          <w:sz w:val="32"/>
          <w:szCs w:val="32"/>
        </w:rPr>
        <w:t>家事业单位的机关运行经费财政拨款预算</w:t>
      </w:r>
      <w:r>
        <w:rPr>
          <w:rFonts w:ascii="仿宋_GB2312" w:eastAsia="仿宋_GB2312"/>
          <w:color w:val="000000"/>
          <w:sz w:val="32"/>
          <w:szCs w:val="32"/>
        </w:rPr>
        <w:t>82.08</w:t>
      </w:r>
      <w:r>
        <w:rPr>
          <w:rFonts w:hint="eastAsia" w:ascii="仿宋_GB2312" w:eastAsia="仿宋_GB2312"/>
          <w:color w:val="000000"/>
          <w:sz w:val="32"/>
          <w:szCs w:val="32"/>
        </w:rPr>
        <w:t>万元。</w:t>
      </w:r>
    </w:p>
    <w:p>
      <w:pPr>
        <w:pStyle w:val="12"/>
        <w:widowControl w:val="0"/>
        <w:numPr>
          <w:ilvl w:val="0"/>
          <w:numId w:val="3"/>
        </w:numPr>
        <w:spacing w:line="560" w:lineRule="exact"/>
        <w:ind w:firstLine="600"/>
        <w:rPr>
          <w:rFonts w:ascii="仿宋_GB2312" w:eastAsia="仿宋_GB2312"/>
          <w:b/>
          <w:bCs/>
          <w:sz w:val="32"/>
          <w:szCs w:val="32"/>
        </w:rPr>
      </w:pPr>
      <w:r>
        <w:rPr>
          <w:rFonts w:hint="eastAsia" w:ascii="仿宋_GB2312" w:eastAsia="仿宋_GB2312"/>
          <w:b/>
          <w:bCs/>
          <w:sz w:val="32"/>
          <w:szCs w:val="32"/>
        </w:rPr>
        <w:t>政府采购情况</w:t>
      </w:r>
    </w:p>
    <w:p>
      <w:pPr>
        <w:pStyle w:val="12"/>
        <w:widowControl w:val="0"/>
        <w:spacing w:line="560" w:lineRule="exact"/>
        <w:ind w:firstLine="640" w:firstLineChars="200"/>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w:t>
      </w:r>
      <w:r>
        <w:rPr>
          <w:rFonts w:hint="eastAsia" w:ascii="仿宋_GB2312" w:eastAsia="仿宋_GB2312"/>
          <w:color w:val="000000"/>
          <w:sz w:val="32"/>
          <w:szCs w:val="32"/>
        </w:rPr>
        <w:t>工商业联合会所属预算单位政府采购预算总额</w:t>
      </w:r>
      <w:r>
        <w:rPr>
          <w:rFonts w:ascii="仿宋_GB2312" w:eastAsia="仿宋_GB2312"/>
          <w:color w:val="000000"/>
          <w:sz w:val="32"/>
          <w:szCs w:val="32"/>
        </w:rPr>
        <w:t xml:space="preserve">4.36  </w:t>
      </w:r>
      <w:r>
        <w:rPr>
          <w:rFonts w:hint="eastAsia" w:ascii="仿宋_GB2312" w:eastAsia="仿宋_GB2312"/>
          <w:color w:val="000000"/>
          <w:sz w:val="32"/>
          <w:szCs w:val="32"/>
        </w:rPr>
        <w:t>万元，其中：政府采购货物预算</w:t>
      </w:r>
      <w:r>
        <w:rPr>
          <w:rFonts w:ascii="仿宋_GB2312" w:eastAsia="仿宋_GB2312"/>
          <w:color w:val="000000"/>
          <w:sz w:val="32"/>
          <w:szCs w:val="32"/>
        </w:rPr>
        <w:t>4.36</w:t>
      </w:r>
      <w:r>
        <w:rPr>
          <w:rFonts w:hint="eastAsia" w:ascii="仿宋_GB2312" w:eastAsia="仿宋_GB2312"/>
          <w:color w:val="000000"/>
          <w:sz w:val="32"/>
          <w:szCs w:val="32"/>
        </w:rPr>
        <w:t>万元、政府采购工程预算</w:t>
      </w:r>
      <w:r>
        <w:rPr>
          <w:rFonts w:ascii="仿宋_GB2312" w:eastAsia="仿宋_GB2312"/>
          <w:color w:val="000000"/>
          <w:sz w:val="32"/>
          <w:szCs w:val="32"/>
        </w:rPr>
        <w:t>0</w:t>
      </w:r>
      <w:r>
        <w:rPr>
          <w:rFonts w:hint="eastAsia" w:ascii="仿宋_GB2312" w:eastAsia="仿宋_GB2312"/>
          <w:color w:val="000000"/>
          <w:sz w:val="32"/>
          <w:szCs w:val="32"/>
        </w:rPr>
        <w:t>万元、政府采购服务预算</w:t>
      </w:r>
      <w:r>
        <w:rPr>
          <w:rFonts w:ascii="仿宋_GB2312" w:eastAsia="仿宋_GB2312"/>
          <w:color w:val="000000"/>
          <w:sz w:val="32"/>
          <w:szCs w:val="32"/>
        </w:rPr>
        <w:t>0</w:t>
      </w:r>
      <w:r>
        <w:rPr>
          <w:rFonts w:hint="eastAsia" w:ascii="仿宋_GB2312" w:eastAsia="仿宋_GB2312"/>
          <w:color w:val="000000"/>
          <w:sz w:val="32"/>
          <w:szCs w:val="32"/>
        </w:rPr>
        <w:t>万元。</w:t>
      </w:r>
    </w:p>
    <w:p>
      <w:pPr>
        <w:pStyle w:val="12"/>
        <w:widowControl w:val="0"/>
        <w:spacing w:line="560" w:lineRule="exact"/>
        <w:ind w:firstLine="642"/>
        <w:rPr>
          <w:rFonts w:ascii="仿宋_GB2312" w:eastAsia="仿宋_GB2312"/>
          <w:sz w:val="32"/>
          <w:szCs w:val="32"/>
        </w:rPr>
      </w:pPr>
      <w:r>
        <w:rPr>
          <w:rFonts w:ascii="仿宋_GB2312" w:eastAsia="仿宋_GB2312"/>
          <w:b/>
          <w:bCs/>
          <w:sz w:val="32"/>
          <w:szCs w:val="32"/>
        </w:rPr>
        <w:t>3.</w:t>
      </w:r>
      <w:r>
        <w:rPr>
          <w:rFonts w:hint="eastAsia" w:ascii="仿宋_GB2312" w:eastAsia="仿宋_GB2312"/>
          <w:b/>
          <w:bCs/>
          <w:sz w:val="32"/>
          <w:szCs w:val="32"/>
        </w:rPr>
        <w:t>国有资产占有使用情况</w:t>
      </w:r>
      <w:r>
        <w:rPr>
          <w:rFonts w:ascii="仿宋_GB2312" w:eastAsia="仿宋_GB2312"/>
          <w:sz w:val="32"/>
          <w:szCs w:val="32"/>
        </w:rPr>
        <w:t xml:space="preserve">    </w:t>
      </w:r>
    </w:p>
    <w:p>
      <w:pPr>
        <w:pStyle w:val="12"/>
        <w:widowControl w:val="0"/>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2017</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日，工商业联合会所属各预算单位共有车辆</w:t>
      </w:r>
      <w:r>
        <w:rPr>
          <w:rFonts w:ascii="仿宋_GB2312" w:eastAsia="仿宋_GB2312"/>
          <w:color w:val="000000"/>
          <w:sz w:val="32"/>
          <w:szCs w:val="32"/>
        </w:rPr>
        <w:t>0</w:t>
      </w:r>
      <w:r>
        <w:rPr>
          <w:rFonts w:hint="eastAsia" w:ascii="仿宋_GB2312" w:eastAsia="仿宋_GB2312"/>
          <w:color w:val="000000"/>
          <w:sz w:val="32"/>
          <w:szCs w:val="32"/>
        </w:rPr>
        <w:t>辆，其中，应急机要通信用车</w:t>
      </w:r>
      <w:r>
        <w:rPr>
          <w:rFonts w:ascii="仿宋_GB2312" w:eastAsia="仿宋_GB2312"/>
          <w:color w:val="000000"/>
          <w:sz w:val="32"/>
          <w:szCs w:val="32"/>
        </w:rPr>
        <w:t>0</w:t>
      </w:r>
      <w:r>
        <w:rPr>
          <w:rFonts w:hint="eastAsia" w:ascii="仿宋_GB2312" w:eastAsia="仿宋_GB2312"/>
          <w:color w:val="000000"/>
          <w:sz w:val="32"/>
          <w:szCs w:val="32"/>
        </w:rPr>
        <w:t>辆、一般执法执勤用车</w:t>
      </w:r>
      <w:r>
        <w:rPr>
          <w:rFonts w:ascii="仿宋_GB2312" w:eastAsia="仿宋_GB2312"/>
          <w:color w:val="000000"/>
          <w:sz w:val="32"/>
          <w:szCs w:val="32"/>
        </w:rPr>
        <w:t>0</w:t>
      </w:r>
      <w:r>
        <w:rPr>
          <w:rFonts w:hint="eastAsia" w:ascii="仿宋_GB2312" w:eastAsia="仿宋_GB2312"/>
          <w:color w:val="000000"/>
          <w:sz w:val="32"/>
          <w:szCs w:val="32"/>
        </w:rPr>
        <w:t>辆、行政执法专用车</w:t>
      </w:r>
      <w:r>
        <w:rPr>
          <w:rFonts w:ascii="仿宋_GB2312" w:eastAsia="仿宋_GB2312"/>
          <w:color w:val="000000"/>
          <w:sz w:val="32"/>
          <w:szCs w:val="32"/>
        </w:rPr>
        <w:t>0</w:t>
      </w:r>
      <w:r>
        <w:rPr>
          <w:rFonts w:hint="eastAsia" w:ascii="仿宋_GB2312" w:eastAsia="仿宋_GB2312"/>
          <w:color w:val="000000"/>
          <w:sz w:val="32"/>
          <w:szCs w:val="32"/>
        </w:rPr>
        <w:t>辆、特种专业技术用车</w:t>
      </w:r>
      <w:r>
        <w:rPr>
          <w:rFonts w:ascii="仿宋_GB2312" w:eastAsia="仿宋_GB2312"/>
          <w:color w:val="000000"/>
          <w:sz w:val="32"/>
          <w:szCs w:val="32"/>
        </w:rPr>
        <w:t>0</w:t>
      </w:r>
      <w:r>
        <w:rPr>
          <w:rFonts w:hint="eastAsia" w:ascii="仿宋_GB2312" w:eastAsia="仿宋_GB2312"/>
          <w:color w:val="000000"/>
          <w:sz w:val="32"/>
          <w:szCs w:val="32"/>
        </w:rPr>
        <w:t>辆、老干部服务用车</w:t>
      </w:r>
      <w:r>
        <w:rPr>
          <w:rFonts w:ascii="仿宋_GB2312" w:eastAsia="仿宋_GB2312"/>
          <w:color w:val="000000"/>
          <w:sz w:val="32"/>
          <w:szCs w:val="32"/>
        </w:rPr>
        <w:t>0</w:t>
      </w:r>
      <w:r>
        <w:rPr>
          <w:rFonts w:hint="eastAsia" w:ascii="仿宋_GB2312" w:eastAsia="仿宋_GB2312"/>
          <w:color w:val="000000"/>
          <w:sz w:val="32"/>
          <w:szCs w:val="32"/>
        </w:rPr>
        <w:t>辆、其他用车</w:t>
      </w:r>
      <w:r>
        <w:rPr>
          <w:rFonts w:ascii="仿宋_GB2312" w:eastAsia="仿宋_GB2312"/>
          <w:color w:val="000000"/>
          <w:sz w:val="32"/>
          <w:szCs w:val="32"/>
        </w:rPr>
        <w:t>0</w:t>
      </w:r>
      <w:r>
        <w:rPr>
          <w:rFonts w:hint="eastAsia" w:ascii="仿宋_GB2312" w:eastAsia="仿宋_GB2312"/>
          <w:color w:val="000000"/>
          <w:sz w:val="32"/>
          <w:szCs w:val="32"/>
        </w:rPr>
        <w:t>辆。单位价值</w:t>
      </w:r>
      <w:r>
        <w:rPr>
          <w:rFonts w:ascii="仿宋_GB2312" w:eastAsia="仿宋_GB2312"/>
          <w:color w:val="000000"/>
          <w:sz w:val="32"/>
          <w:szCs w:val="32"/>
        </w:rPr>
        <w:t>200</w:t>
      </w:r>
      <w:r>
        <w:rPr>
          <w:rFonts w:hint="eastAsia" w:ascii="仿宋_GB2312" w:eastAsia="仿宋_GB2312"/>
          <w:color w:val="000000"/>
          <w:sz w:val="32"/>
          <w:szCs w:val="32"/>
        </w:rPr>
        <w:t>万元以上大型设备</w:t>
      </w:r>
      <w:r>
        <w:rPr>
          <w:rFonts w:ascii="仿宋_GB2312" w:eastAsia="仿宋_GB2312"/>
          <w:color w:val="000000"/>
          <w:sz w:val="32"/>
          <w:szCs w:val="32"/>
        </w:rPr>
        <w:t xml:space="preserve">0 </w:t>
      </w:r>
      <w:r>
        <w:rPr>
          <w:rFonts w:hint="eastAsia" w:ascii="仿宋_GB2312" w:eastAsia="仿宋_GB2312"/>
          <w:color w:val="000000"/>
          <w:sz w:val="32"/>
          <w:szCs w:val="32"/>
        </w:rPr>
        <w:t>台（套）。</w:t>
      </w:r>
    </w:p>
    <w:p>
      <w:pPr>
        <w:pStyle w:val="12"/>
        <w:widowControl w:val="0"/>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年部门预算安排购置车辆</w:t>
      </w:r>
      <w:r>
        <w:rPr>
          <w:rFonts w:ascii="仿宋_GB2312" w:eastAsia="仿宋_GB2312"/>
          <w:color w:val="000000"/>
          <w:sz w:val="32"/>
          <w:szCs w:val="32"/>
        </w:rPr>
        <w:t>0</w:t>
      </w:r>
      <w:r>
        <w:rPr>
          <w:rFonts w:hint="eastAsia" w:ascii="仿宋_GB2312" w:eastAsia="仿宋_GB2312"/>
          <w:color w:val="000000"/>
          <w:sz w:val="32"/>
          <w:szCs w:val="32"/>
        </w:rPr>
        <w:t>辆、单位价值</w:t>
      </w:r>
      <w:r>
        <w:rPr>
          <w:rFonts w:ascii="仿宋_GB2312" w:eastAsia="仿宋_GB2312"/>
          <w:color w:val="000000"/>
          <w:sz w:val="32"/>
          <w:szCs w:val="32"/>
        </w:rPr>
        <w:t>200</w:t>
      </w:r>
      <w:r>
        <w:rPr>
          <w:rFonts w:hint="eastAsia" w:ascii="仿宋_GB2312" w:eastAsia="仿宋_GB2312"/>
          <w:color w:val="000000"/>
          <w:sz w:val="32"/>
          <w:szCs w:val="32"/>
        </w:rPr>
        <w:t>万元以上大型设备</w:t>
      </w:r>
      <w:r>
        <w:rPr>
          <w:rFonts w:ascii="仿宋_GB2312" w:eastAsia="仿宋_GB2312"/>
          <w:color w:val="000000"/>
          <w:sz w:val="32"/>
          <w:szCs w:val="32"/>
        </w:rPr>
        <w:t>0</w:t>
      </w:r>
      <w:r>
        <w:rPr>
          <w:rFonts w:hint="eastAsia" w:ascii="仿宋_GB2312" w:eastAsia="仿宋_GB2312"/>
          <w:color w:val="000000"/>
          <w:sz w:val="32"/>
          <w:szCs w:val="32"/>
        </w:rPr>
        <w:t>台（套）。</w:t>
      </w:r>
    </w:p>
    <w:p>
      <w:pPr>
        <w:pStyle w:val="12"/>
        <w:widowControl w:val="0"/>
        <w:spacing w:line="560" w:lineRule="exact"/>
        <w:rPr>
          <w:rFonts w:ascii="仿宋_GB2312" w:eastAsia="仿宋_GB2312"/>
          <w:b/>
          <w:bCs/>
          <w:sz w:val="32"/>
          <w:szCs w:val="32"/>
        </w:rPr>
      </w:pPr>
      <w:r>
        <w:rPr>
          <w:rFonts w:ascii="仿宋_GB2312" w:eastAsia="仿宋_GB2312"/>
          <w:b/>
          <w:bCs/>
          <w:sz w:val="32"/>
          <w:szCs w:val="32"/>
        </w:rPr>
        <w:t xml:space="preserve">    4.</w:t>
      </w:r>
      <w:r>
        <w:rPr>
          <w:rFonts w:hint="eastAsia" w:ascii="仿宋_GB2312" w:eastAsia="仿宋_GB2312"/>
          <w:b/>
          <w:bCs/>
          <w:sz w:val="32"/>
          <w:szCs w:val="32"/>
        </w:rPr>
        <w:t>绩效目标设置情况</w:t>
      </w:r>
    </w:p>
    <w:p>
      <w:pPr>
        <w:pStyle w:val="12"/>
        <w:widowControl w:val="0"/>
        <w:spacing w:line="560" w:lineRule="exact"/>
        <w:rPr>
          <w:rFonts w:ascii="仿宋_GB2312" w:eastAsia="仿宋_GB2312"/>
          <w:sz w:val="32"/>
          <w:szCs w:val="32"/>
        </w:rPr>
      </w:pPr>
      <w:r>
        <w:rPr>
          <w:rFonts w:ascii="仿宋_GB2312" w:eastAsia="仿宋_GB2312"/>
          <w:sz w:val="32"/>
          <w:szCs w:val="32"/>
        </w:rPr>
        <w:t xml:space="preserve">    </w:t>
      </w:r>
      <w:r>
        <w:rPr>
          <w:rFonts w:ascii="仿宋_GB2312" w:hAnsi="Times New Roman" w:eastAsia="仿宋_GB2312" w:cs="仿宋_GB2312"/>
          <w:kern w:val="0"/>
          <w:sz w:val="32"/>
          <w:szCs w:val="32"/>
        </w:rPr>
        <w:t>201</w:t>
      </w:r>
      <w:r>
        <w:rPr>
          <w:rFonts w:hint="eastAsia" w:ascii="仿宋_GB2312" w:eastAsia="仿宋_GB2312" w:cs="仿宋_GB2312"/>
          <w:kern w:val="0"/>
          <w:sz w:val="32"/>
          <w:szCs w:val="32"/>
          <w:lang w:val="en-US" w:eastAsia="zh-CN"/>
        </w:rPr>
        <w:t>8</w:t>
      </w:r>
      <w:r>
        <w:rPr>
          <w:rFonts w:ascii="仿宋_GB2312" w:hAnsi="Times New Roman" w:eastAsia="仿宋_GB2312" w:cs="仿宋_GB2312"/>
          <w:kern w:val="0"/>
          <w:sz w:val="32"/>
          <w:szCs w:val="32"/>
        </w:rPr>
        <w:t>年</w:t>
      </w:r>
      <w:r>
        <w:rPr>
          <w:rFonts w:hint="eastAsia" w:ascii="仿宋_GB2312" w:hAnsi="宋体" w:eastAsia="仿宋_GB2312" w:cs="仿宋_GB2312"/>
          <w:sz w:val="32"/>
          <w:szCs w:val="32"/>
        </w:rPr>
        <w:t>非公经济人士培训经费</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rPr>
        <w:t>行业协会商会及党建工作经费</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rPr>
        <w:t>支持浙商创业创新经费等项目支出均实行绩效目标管理</w:t>
      </w:r>
      <w:r>
        <w:rPr>
          <w:rFonts w:hint="eastAsia" w:ascii="仿宋_GB2312" w:eastAsia="仿宋_GB2312"/>
          <w:color w:val="000000"/>
          <w:sz w:val="32"/>
          <w:szCs w:val="32"/>
        </w:rPr>
        <w:t>，涉及一般公共预算收入安排的支</w:t>
      </w:r>
      <w:r>
        <w:rPr>
          <w:rFonts w:hint="eastAsia" w:ascii="仿宋_GB2312" w:eastAsia="仿宋_GB2312"/>
          <w:color w:val="000000"/>
          <w:sz w:val="32"/>
          <w:szCs w:val="32"/>
          <w:lang w:eastAsia="zh-CN"/>
        </w:rPr>
        <w:t>出</w:t>
      </w:r>
      <w:r>
        <w:rPr>
          <w:rFonts w:ascii="仿宋_GB2312" w:eastAsia="仿宋_GB2312"/>
          <w:color w:val="000000"/>
          <w:sz w:val="32"/>
          <w:szCs w:val="32"/>
        </w:rPr>
        <w:t>80.36</w:t>
      </w:r>
      <w:r>
        <w:rPr>
          <w:rFonts w:hint="eastAsia" w:ascii="仿宋_GB2312" w:eastAsia="仿宋_GB2312"/>
          <w:color w:val="000000"/>
          <w:sz w:val="32"/>
          <w:szCs w:val="32"/>
        </w:rPr>
        <w:t>万元。</w:t>
      </w:r>
    </w:p>
    <w:p>
      <w:pPr>
        <w:pStyle w:val="12"/>
        <w:widowControl w:val="0"/>
        <w:spacing w:line="560" w:lineRule="exact"/>
        <w:ind w:firstLine="640" w:firstLineChars="200"/>
        <w:rPr>
          <w:rStyle w:val="7"/>
          <w:rFonts w:ascii="仿宋_GB2312" w:hAnsi="黑体" w:eastAsia="仿宋_GB2312" w:cs="黑体"/>
          <w:b w:val="0"/>
          <w:sz w:val="32"/>
          <w:szCs w:val="32"/>
        </w:rPr>
      </w:pPr>
      <w:r>
        <w:rPr>
          <w:rStyle w:val="7"/>
          <w:rFonts w:hint="eastAsia" w:ascii="仿宋_GB2312" w:hAnsi="黑体" w:eastAsia="仿宋_GB2312" w:cs="黑体"/>
          <w:b w:val="0"/>
          <w:sz w:val="32"/>
          <w:szCs w:val="32"/>
        </w:rPr>
        <w:t>三、名词解释</w:t>
      </w:r>
    </w:p>
    <w:p>
      <w:pPr>
        <w:pStyle w:val="12"/>
        <w:widowControl w:val="0"/>
        <w:spacing w:line="560" w:lineRule="exact"/>
        <w:rPr>
          <w:rFonts w:ascii="仿宋_GB2312" w:hAnsi="仿宋" w:eastAsia="仿宋_GB2312"/>
          <w:color w:val="000000"/>
          <w:sz w:val="32"/>
          <w:szCs w:val="32"/>
        </w:rPr>
      </w:pPr>
      <w:r>
        <w:rPr>
          <w:rFonts w:ascii="仿宋_GB2312" w:hAnsi="仿宋" w:eastAsia="仿宋_GB2312"/>
          <w:color w:val="000000"/>
          <w:sz w:val="32"/>
          <w:szCs w:val="32"/>
        </w:rPr>
        <w:t xml:space="preserve">    1.</w:t>
      </w:r>
      <w:r>
        <w:rPr>
          <w:rFonts w:hint="eastAsia" w:ascii="仿宋_GB2312" w:hAnsi="仿宋" w:eastAsia="仿宋_GB2312"/>
          <w:color w:val="000000"/>
          <w:sz w:val="32"/>
          <w:szCs w:val="32"/>
        </w:rPr>
        <w:t>财政拨款收入：</w:t>
      </w:r>
      <w:r>
        <w:rPr>
          <w:rFonts w:hint="eastAsia" w:ascii="仿宋_GB2312" w:hAnsi="仿宋" w:eastAsia="仿宋_GB2312"/>
          <w:sz w:val="32"/>
          <w:szCs w:val="32"/>
        </w:rPr>
        <w:t>本级财政部门当年拨付的财政预算资金，包括一般公共预算财政拨款和政府性基金预算财政拨款。</w:t>
      </w:r>
    </w:p>
    <w:p>
      <w:pPr>
        <w:pStyle w:val="12"/>
        <w:widowControl w:val="0"/>
        <w:spacing w:line="560" w:lineRule="exact"/>
        <w:rPr>
          <w:rFonts w:ascii="仿宋_GB2312" w:hAnsi="仿宋" w:eastAsia="仿宋_GB2312"/>
          <w:sz w:val="32"/>
          <w:szCs w:val="32"/>
        </w:rPr>
      </w:pPr>
      <w:r>
        <w:rPr>
          <w:rFonts w:ascii="仿宋_GB2312" w:hAnsi="仿宋" w:eastAsia="仿宋_GB2312"/>
          <w:color w:val="000000"/>
          <w:sz w:val="32"/>
          <w:szCs w:val="32"/>
        </w:rPr>
        <w:t xml:space="preserve">    2.</w:t>
      </w:r>
      <w:r>
        <w:rPr>
          <w:rFonts w:hint="eastAsia" w:ascii="仿宋_GB2312" w:hAnsi="仿宋" w:eastAsia="仿宋_GB2312"/>
          <w:color w:val="000000"/>
          <w:sz w:val="32"/>
          <w:szCs w:val="32"/>
        </w:rPr>
        <w:t>当年纳入专户管理的收入</w:t>
      </w:r>
      <w:r>
        <w:rPr>
          <w:rFonts w:ascii="仿宋_GB2312" w:hAnsi="仿宋" w:eastAsia="仿宋_GB2312"/>
          <w:color w:val="000000"/>
          <w:sz w:val="32"/>
          <w:szCs w:val="32"/>
        </w:rPr>
        <w:t>:</w:t>
      </w:r>
      <w:r>
        <w:rPr>
          <w:rFonts w:hint="eastAsia" w:ascii="仿宋_GB2312" w:hAnsi="仿宋" w:eastAsia="仿宋_GB2312"/>
          <w:color w:val="000000"/>
          <w:sz w:val="32"/>
          <w:szCs w:val="32"/>
        </w:rPr>
        <w:t>教育收费</w:t>
      </w:r>
      <w:r>
        <w:rPr>
          <w:rFonts w:hint="eastAsia" w:ascii="仿宋_GB2312" w:hAnsi="仿宋" w:eastAsia="仿宋_GB2312"/>
          <w:sz w:val="32"/>
          <w:szCs w:val="32"/>
        </w:rPr>
        <w:t>作为本部门的事业收入，纳入财政专户管理的资金。</w:t>
      </w:r>
    </w:p>
    <w:p>
      <w:pPr>
        <w:pStyle w:val="12"/>
        <w:widowControl w:val="0"/>
        <w:spacing w:line="560" w:lineRule="exact"/>
        <w:rPr>
          <w:rFonts w:ascii="仿宋_GB2312" w:hAnsi="仿宋" w:eastAsia="仿宋_GB2312"/>
          <w:sz w:val="32"/>
          <w:szCs w:val="32"/>
        </w:rPr>
      </w:pPr>
      <w:r>
        <w:rPr>
          <w:rFonts w:ascii="仿宋_GB2312" w:hAnsi="仿宋" w:eastAsia="仿宋_GB2312"/>
          <w:color w:val="000000"/>
          <w:sz w:val="32"/>
          <w:szCs w:val="32"/>
        </w:rPr>
        <w:t xml:space="preserve">    3.</w:t>
      </w:r>
      <w:r>
        <w:rPr>
          <w:rFonts w:hint="eastAsia" w:ascii="仿宋_GB2312" w:hAnsi="仿宋" w:eastAsia="仿宋_GB2312"/>
          <w:color w:val="000000"/>
          <w:sz w:val="32"/>
          <w:szCs w:val="32"/>
        </w:rPr>
        <w:t>事业收入（单位留用）：</w:t>
      </w:r>
      <w:r>
        <w:rPr>
          <w:rFonts w:hint="eastAsia" w:ascii="仿宋_GB2312" w:hAnsi="仿宋" w:eastAsia="仿宋_GB2312"/>
          <w:sz w:val="32"/>
          <w:szCs w:val="32"/>
        </w:rPr>
        <w:t>事业单位开展专业业务活动及辅助活动所取得的收入，不含专户资金收入。</w:t>
      </w:r>
    </w:p>
    <w:p>
      <w:pPr>
        <w:pStyle w:val="12"/>
        <w:widowControl w:val="0"/>
        <w:spacing w:line="560" w:lineRule="exact"/>
        <w:rPr>
          <w:rFonts w:ascii="仿宋_GB2312" w:hAnsi="仿宋" w:eastAsia="仿宋_GB2312"/>
          <w:sz w:val="32"/>
          <w:szCs w:val="32"/>
        </w:rPr>
      </w:pPr>
      <w:r>
        <w:rPr>
          <w:rFonts w:ascii="仿宋_GB2312" w:hAnsi="仿宋" w:eastAsia="仿宋_GB2312"/>
          <w:color w:val="000000"/>
          <w:sz w:val="32"/>
          <w:szCs w:val="32"/>
        </w:rPr>
        <w:t xml:space="preserve">    4.</w:t>
      </w:r>
      <w:r>
        <w:rPr>
          <w:rFonts w:hint="eastAsia" w:ascii="仿宋_GB2312" w:hAnsi="仿宋" w:eastAsia="仿宋_GB2312"/>
          <w:color w:val="000000"/>
          <w:sz w:val="32"/>
          <w:szCs w:val="32"/>
        </w:rPr>
        <w:t>经营收入：</w:t>
      </w:r>
      <w:r>
        <w:rPr>
          <w:rFonts w:hint="eastAsia" w:ascii="仿宋_GB2312" w:hAnsi="仿宋" w:eastAsia="仿宋_GB2312"/>
          <w:sz w:val="32"/>
          <w:szCs w:val="32"/>
        </w:rPr>
        <w:t>事业单位在专业业务活动及辅助活动之外开展非独立核算经营活动取得的收入。</w:t>
      </w:r>
    </w:p>
    <w:p>
      <w:pPr>
        <w:pStyle w:val="12"/>
        <w:widowControl w:val="0"/>
        <w:spacing w:line="560" w:lineRule="exact"/>
        <w:rPr>
          <w:rFonts w:ascii="仿宋_GB2312" w:hAnsi="仿宋" w:eastAsia="仿宋_GB2312"/>
          <w:color w:val="000000"/>
          <w:sz w:val="32"/>
          <w:szCs w:val="32"/>
        </w:rPr>
      </w:pPr>
      <w:r>
        <w:rPr>
          <w:rFonts w:ascii="仿宋_GB2312" w:hAnsi="仿宋" w:eastAsia="仿宋_GB2312"/>
          <w:color w:val="000000"/>
          <w:sz w:val="32"/>
          <w:szCs w:val="32"/>
        </w:rPr>
        <w:t xml:space="preserve">    5.</w:t>
      </w:r>
      <w:r>
        <w:rPr>
          <w:rFonts w:hint="eastAsia" w:ascii="仿宋_GB2312" w:hAnsi="仿宋" w:eastAsia="仿宋_GB2312"/>
          <w:color w:val="000000"/>
          <w:sz w:val="32"/>
          <w:szCs w:val="32"/>
        </w:rPr>
        <w:t>其他收入：</w:t>
      </w:r>
      <w:r>
        <w:rPr>
          <w:rFonts w:hint="eastAsia" w:ascii="仿宋_GB2312" w:hAnsi="仿宋" w:eastAsia="仿宋_GB2312"/>
          <w:sz w:val="32"/>
          <w:szCs w:val="32"/>
        </w:rPr>
        <w:t>预算单位在“一般公共预算”“政府性基金”“专户资金”“事业收入”“经营收入”等之外取得的各项收入。</w:t>
      </w:r>
    </w:p>
    <w:p>
      <w:pPr>
        <w:pStyle w:val="12"/>
        <w:widowControl w:val="0"/>
        <w:spacing w:line="560" w:lineRule="exact"/>
        <w:rPr>
          <w:rFonts w:ascii="仿宋_GB2312" w:hAnsi="仿宋" w:eastAsia="仿宋_GB2312"/>
          <w:color w:val="000000"/>
          <w:sz w:val="32"/>
          <w:szCs w:val="32"/>
        </w:rPr>
      </w:pPr>
      <w:r>
        <w:rPr>
          <w:rFonts w:ascii="仿宋_GB2312" w:hAnsi="仿宋" w:eastAsia="仿宋_GB2312"/>
          <w:color w:val="000000"/>
          <w:sz w:val="32"/>
          <w:szCs w:val="32"/>
        </w:rPr>
        <w:t xml:space="preserve">    6.</w:t>
      </w:r>
      <w:r>
        <w:rPr>
          <w:rFonts w:hint="eastAsia" w:ascii="仿宋_GB2312" w:hAnsi="仿宋" w:eastAsia="仿宋_GB2312"/>
          <w:color w:val="000000"/>
          <w:sz w:val="32"/>
          <w:szCs w:val="32"/>
        </w:rPr>
        <w:t>用事业基金弥补收支差额：指事业单位在预计用当年的“财政拨款收入”“专户资金”“事业收入”“经营收入”“其他收入”“</w:t>
      </w:r>
      <w:r>
        <w:rPr>
          <w:rFonts w:hint="eastAsia" w:ascii="仿宋_GB2312" w:hAnsi="仿宋" w:eastAsia="仿宋_GB2312"/>
          <w:sz w:val="32"/>
          <w:szCs w:val="32"/>
        </w:rPr>
        <w:t>以前年度结余资金</w:t>
      </w:r>
      <w:r>
        <w:rPr>
          <w:rFonts w:hint="eastAsia" w:ascii="仿宋_GB2312" w:hAnsi="仿宋" w:eastAsia="仿宋_GB2312"/>
          <w:color w:val="000000"/>
          <w:sz w:val="32"/>
          <w:szCs w:val="32"/>
        </w:rPr>
        <w:t>”等不足以安排当年支出的情况下，使用以前年度积累的事业基金弥补本年收支缺口的资金。</w:t>
      </w:r>
    </w:p>
    <w:p>
      <w:pPr>
        <w:spacing w:line="560" w:lineRule="exact"/>
        <w:ind w:firstLine="640" w:firstLineChars="200"/>
        <w:rPr>
          <w:rFonts w:ascii="仿宋_GB2312" w:hAnsi="仿宋" w:eastAsia="仿宋_GB2312"/>
          <w:sz w:val="32"/>
          <w:szCs w:val="32"/>
        </w:rPr>
      </w:pPr>
      <w:r>
        <w:rPr>
          <w:rFonts w:ascii="仿宋_GB2312" w:hAnsi="仿宋" w:eastAsia="仿宋_GB2312"/>
          <w:bCs/>
          <w:color w:val="000000"/>
          <w:sz w:val="32"/>
          <w:szCs w:val="32"/>
        </w:rPr>
        <w:t>7.</w:t>
      </w:r>
      <w:r>
        <w:rPr>
          <w:rFonts w:hint="eastAsia" w:ascii="仿宋_GB2312" w:hAnsi="仿宋" w:eastAsia="仿宋_GB2312"/>
          <w:sz w:val="32"/>
          <w:szCs w:val="32"/>
        </w:rPr>
        <w:t>以前年度结余资金收入：指以前年度形成的留在预算单位实有资金账户上的财政补助结余结转资金。</w:t>
      </w:r>
    </w:p>
    <w:p>
      <w:pPr>
        <w:spacing w:line="560" w:lineRule="exact"/>
        <w:ind w:firstLine="640" w:firstLineChars="200"/>
        <w:jc w:val="left"/>
        <w:rPr>
          <w:rFonts w:ascii="仿宋_GB2312" w:hAnsi="仿宋" w:eastAsia="仿宋_GB2312"/>
          <w:sz w:val="32"/>
          <w:szCs w:val="32"/>
        </w:rPr>
      </w:pPr>
      <w:r>
        <w:rPr>
          <w:rFonts w:ascii="仿宋_GB2312" w:hAnsi="仿宋" w:eastAsia="仿宋_GB2312"/>
          <w:sz w:val="32"/>
          <w:szCs w:val="32"/>
        </w:rPr>
        <w:t>8.</w:t>
      </w:r>
      <w:r>
        <w:rPr>
          <w:rFonts w:hint="eastAsia" w:ascii="仿宋_GB2312" w:hAnsi="仿宋" w:eastAsia="仿宋_GB2312"/>
          <w:sz w:val="32"/>
          <w:szCs w:val="32"/>
        </w:rPr>
        <w:t>基本支出：是预算单位为保障其正常运转，完成日常工作任务所发生的支出，包括人员支出和日常公用支出。</w:t>
      </w:r>
    </w:p>
    <w:p>
      <w:pPr>
        <w:spacing w:line="560" w:lineRule="exact"/>
        <w:ind w:firstLine="640" w:firstLineChars="200"/>
        <w:jc w:val="left"/>
        <w:rPr>
          <w:rFonts w:hint="eastAsia" w:ascii="仿宋_GB2312" w:hAnsi="仿宋" w:eastAsia="仿宋_GB2312"/>
          <w:sz w:val="32"/>
          <w:szCs w:val="32"/>
        </w:rPr>
      </w:pPr>
      <w:r>
        <w:rPr>
          <w:rFonts w:ascii="仿宋_GB2312" w:hAnsi="仿宋" w:eastAsia="仿宋_GB2312"/>
          <w:sz w:val="32"/>
          <w:szCs w:val="32"/>
        </w:rPr>
        <w:t>9.</w:t>
      </w:r>
      <w:r>
        <w:rPr>
          <w:rFonts w:hint="eastAsia" w:ascii="仿宋_GB2312" w:hAnsi="仿宋" w:eastAsia="仿宋_GB2312"/>
          <w:sz w:val="32"/>
          <w:szCs w:val="32"/>
        </w:rPr>
        <w:t>项目支出：是预算单位为完成其特定的行政工作任务或事业发展目标所发生的支出。</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10.一般公共服务支出（类）民主党派及工商联事务（款）行政运行（项）事务：指用于行政单位的基本支出。</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11.一般公共服务支出（类）民主党派及工商联事务（款）一般行政管理（项）事务：指用于行政单位未单独设置项级科目的其他项目支出。</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12.社会保障和就业支出（类）行政事业单位离退休（款）未归口管理的行政单位离退休（项）事务：指用于未实行归口管理的行政单位开支的离退休支出。</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13.社会保障和就业支出（类）行政事业单位离退休（款）机关事业单位基本养老保险缴费支出（项）事务：指用于机关事业单位缴纳的基本养老保险费。</w:t>
      </w:r>
    </w:p>
    <w:p>
      <w:pPr>
        <w:keepNext w:val="0"/>
        <w:keepLines w:val="0"/>
        <w:widowControl/>
        <w:suppressLineNumbers w:val="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14.社会保障和就业支出（类）行政事业单位离退休（款）机关事业单位职业年金缴费支出（项）事务：指用于机关事业单位缴纳的职业年金支出。</w:t>
      </w:r>
    </w:p>
    <w:p>
      <w:pPr>
        <w:keepNext w:val="0"/>
        <w:keepLines w:val="0"/>
        <w:widowControl/>
        <w:suppressLineNumbers w:val="0"/>
        <w:ind w:firstLine="64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15.住房保障支出（类）住房改革支出（款）住房公积金（项）事务：指用于行政事业单位按人力资源和社会保障部、财政部规定的基本工资和津贴补贴以及规定比例为职工缴纳的住房公积金。</w:t>
      </w:r>
    </w:p>
    <w:p>
      <w:pPr>
        <w:keepNext w:val="0"/>
        <w:keepLines w:val="0"/>
        <w:widowControl/>
        <w:suppressLineNumbers w:val="0"/>
        <w:ind w:firstLine="640"/>
        <w:jc w:val="left"/>
        <w:rPr>
          <w:rFonts w:hint="eastAsia" w:ascii="仿宋_GB2312" w:hAnsi="仿宋_GB2312" w:eastAsia="仿宋_GB2312" w:cs="仿宋_GB2312"/>
          <w:kern w:val="0"/>
          <w:sz w:val="32"/>
          <w:szCs w:val="32"/>
          <w:lang w:val="en-US" w:eastAsia="zh-CN" w:bidi="ar"/>
        </w:rPr>
      </w:pPr>
    </w:p>
    <w:p>
      <w:pPr>
        <w:keepNext w:val="0"/>
        <w:keepLines w:val="0"/>
        <w:widowControl/>
        <w:suppressLineNumbers w:val="0"/>
        <w:ind w:firstLine="640"/>
        <w:jc w:val="left"/>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附件：</w:t>
      </w:r>
    </w:p>
    <w:p>
      <w:pPr>
        <w:keepNext w:val="0"/>
        <w:keepLines w:val="0"/>
        <w:widowControl/>
        <w:suppressLineNumbers w:val="0"/>
        <w:ind w:firstLine="640"/>
        <w:jc w:val="left"/>
        <w:rPr>
          <w:rFonts w:hint="eastAsia" w:ascii="仿宋_GB2312" w:hAnsi="仿宋_GB2312" w:eastAsia="仿宋_GB2312" w:cs="仿宋_GB2312"/>
          <w:kern w:val="0"/>
          <w:sz w:val="32"/>
          <w:szCs w:val="32"/>
          <w:lang w:val="en-US" w:eastAsia="zh-CN" w:bidi="ar"/>
        </w:rPr>
      </w:pPr>
      <w:bookmarkStart w:id="0" w:name="_GoBack"/>
      <w:r>
        <w:rPr>
          <w:rFonts w:hint="eastAsia" w:ascii="仿宋_GB2312" w:hAnsi="仿宋_GB2312" w:eastAsia="仿宋_GB2312" w:cs="仿宋_GB2312"/>
          <w:kern w:val="0"/>
          <w:sz w:val="32"/>
          <w:szCs w:val="32"/>
          <w:lang w:val="en-US" w:eastAsia="zh-CN" w:bidi="ar"/>
        </w:rPr>
        <w:object>
          <v:shape id="_x0000_i1025" o:spt="75" type="#_x0000_t75" style="height:66pt;width:72.75pt;" o:ole="t" filled="f" o:preferrelative="t" stroked="f" coordsize="21600,21600">
            <v:path/>
            <v:fill on="f" focussize="0,0"/>
            <v:stroke on="f"/>
            <v:imagedata r:id="rId11" o:title=""/>
            <o:lock v:ext="edit" aspectratio="t"/>
            <w10:wrap type="none"/>
            <w10:anchorlock/>
          </v:shape>
          <o:OLEObject Type="Embed" ProgID="Excel.Sheet.8" ShapeID="_x0000_i1025" DrawAspect="Icon" ObjectID="_1468075725" r:id="rId10">
            <o:LockedField>false</o:LockedField>
          </o:OLEObject>
        </w:object>
      </w:r>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3F62F"/>
    <w:multiLevelType w:val="singleLevel"/>
    <w:tmpl w:val="5893F62F"/>
    <w:lvl w:ilvl="0" w:tentative="0">
      <w:start w:val="2"/>
      <w:numFmt w:val="decimal"/>
      <w:suff w:val="nothing"/>
      <w:lvlText w:val="%1."/>
      <w:lvlJc w:val="left"/>
      <w:rPr>
        <w:rFonts w:cs="Times New Roman"/>
      </w:rPr>
    </w:lvl>
  </w:abstractNum>
  <w:abstractNum w:abstractNumId="1">
    <w:nsid w:val="5895A6FC"/>
    <w:multiLevelType w:val="singleLevel"/>
    <w:tmpl w:val="5895A6FC"/>
    <w:lvl w:ilvl="0" w:tentative="0">
      <w:start w:val="2"/>
      <w:numFmt w:val="chineseCounting"/>
      <w:suff w:val="nothing"/>
      <w:lvlText w:val="%1、"/>
      <w:lvlJc w:val="left"/>
      <w:rPr>
        <w:rFonts w:cs="Times New Roman"/>
      </w:rPr>
    </w:lvl>
  </w:abstractNum>
  <w:abstractNum w:abstractNumId="2">
    <w:nsid w:val="5895A99C"/>
    <w:multiLevelType w:val="singleLevel"/>
    <w:tmpl w:val="5895A99C"/>
    <w:lvl w:ilvl="0" w:tentative="0">
      <w:start w:val="5"/>
      <w:numFmt w:val="chineseCounting"/>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B067A"/>
    <w:rsid w:val="000065FE"/>
    <w:rsid w:val="00012C8E"/>
    <w:rsid w:val="0004247A"/>
    <w:rsid w:val="00043ECE"/>
    <w:rsid w:val="00047BA5"/>
    <w:rsid w:val="00080F05"/>
    <w:rsid w:val="000C4F58"/>
    <w:rsid w:val="000E08CE"/>
    <w:rsid w:val="000E1438"/>
    <w:rsid w:val="000E2CDC"/>
    <w:rsid w:val="000E52D7"/>
    <w:rsid w:val="00124706"/>
    <w:rsid w:val="001D6FB4"/>
    <w:rsid w:val="001F0C43"/>
    <w:rsid w:val="00233DCB"/>
    <w:rsid w:val="00234D9C"/>
    <w:rsid w:val="002737C5"/>
    <w:rsid w:val="002861ED"/>
    <w:rsid w:val="002B067A"/>
    <w:rsid w:val="002C4E17"/>
    <w:rsid w:val="002E4904"/>
    <w:rsid w:val="002E600D"/>
    <w:rsid w:val="002F0292"/>
    <w:rsid w:val="00314A59"/>
    <w:rsid w:val="00317A62"/>
    <w:rsid w:val="00333648"/>
    <w:rsid w:val="0035204D"/>
    <w:rsid w:val="00371897"/>
    <w:rsid w:val="003820DD"/>
    <w:rsid w:val="003A2578"/>
    <w:rsid w:val="003A68C5"/>
    <w:rsid w:val="003B274B"/>
    <w:rsid w:val="003C7490"/>
    <w:rsid w:val="003D0679"/>
    <w:rsid w:val="0045419D"/>
    <w:rsid w:val="004C1DBC"/>
    <w:rsid w:val="00527944"/>
    <w:rsid w:val="0053693B"/>
    <w:rsid w:val="0056745A"/>
    <w:rsid w:val="005C7098"/>
    <w:rsid w:val="005F332D"/>
    <w:rsid w:val="005F67AD"/>
    <w:rsid w:val="00602315"/>
    <w:rsid w:val="00623272"/>
    <w:rsid w:val="00677C21"/>
    <w:rsid w:val="00680673"/>
    <w:rsid w:val="00695F78"/>
    <w:rsid w:val="006A3516"/>
    <w:rsid w:val="006D257B"/>
    <w:rsid w:val="007022ED"/>
    <w:rsid w:val="007C451A"/>
    <w:rsid w:val="007F02FE"/>
    <w:rsid w:val="00807033"/>
    <w:rsid w:val="00816EEA"/>
    <w:rsid w:val="00834987"/>
    <w:rsid w:val="00835F1C"/>
    <w:rsid w:val="0085033F"/>
    <w:rsid w:val="00896579"/>
    <w:rsid w:val="008A41EB"/>
    <w:rsid w:val="008B1444"/>
    <w:rsid w:val="008E3C2E"/>
    <w:rsid w:val="0095123A"/>
    <w:rsid w:val="00982A79"/>
    <w:rsid w:val="00991336"/>
    <w:rsid w:val="009C6617"/>
    <w:rsid w:val="00A11697"/>
    <w:rsid w:val="00A35345"/>
    <w:rsid w:val="00AA3E24"/>
    <w:rsid w:val="00B42E11"/>
    <w:rsid w:val="00BD21D0"/>
    <w:rsid w:val="00BF7AF4"/>
    <w:rsid w:val="00C36489"/>
    <w:rsid w:val="00CC6CD8"/>
    <w:rsid w:val="00CE4A5D"/>
    <w:rsid w:val="00CF539B"/>
    <w:rsid w:val="00D132CB"/>
    <w:rsid w:val="00D506C0"/>
    <w:rsid w:val="00D64CEA"/>
    <w:rsid w:val="00D65FD0"/>
    <w:rsid w:val="00D86BCF"/>
    <w:rsid w:val="00DA62BE"/>
    <w:rsid w:val="00E06122"/>
    <w:rsid w:val="00E465F1"/>
    <w:rsid w:val="00E651C7"/>
    <w:rsid w:val="00EC480B"/>
    <w:rsid w:val="00ED51F7"/>
    <w:rsid w:val="00EF20E3"/>
    <w:rsid w:val="00F12038"/>
    <w:rsid w:val="00F67571"/>
    <w:rsid w:val="00F92B7A"/>
    <w:rsid w:val="00FE2C7B"/>
    <w:rsid w:val="0D273420"/>
    <w:rsid w:val="100E0E08"/>
    <w:rsid w:val="116C778C"/>
    <w:rsid w:val="13D46C12"/>
    <w:rsid w:val="13E25FED"/>
    <w:rsid w:val="23B75AB4"/>
    <w:rsid w:val="34FD0B66"/>
    <w:rsid w:val="40986A54"/>
    <w:rsid w:val="451809A6"/>
    <w:rsid w:val="471E5811"/>
    <w:rsid w:val="4736549D"/>
    <w:rsid w:val="4E86354E"/>
    <w:rsid w:val="4F6109AD"/>
    <w:rsid w:val="53F65D52"/>
    <w:rsid w:val="54540AC4"/>
    <w:rsid w:val="5564304C"/>
    <w:rsid w:val="56F40AD4"/>
    <w:rsid w:val="571C3CE0"/>
    <w:rsid w:val="58FA46D5"/>
    <w:rsid w:val="60857E15"/>
    <w:rsid w:val="6BD74013"/>
    <w:rsid w:val="6CFC0356"/>
    <w:rsid w:val="73FE341E"/>
    <w:rsid w:val="76A21724"/>
    <w:rsid w:val="7C496213"/>
    <w:rsid w:val="7EFE019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iPriority w:val="99"/>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iPriority w:val="99"/>
    <w:rPr>
      <w:sz w:val="18"/>
      <w:szCs w:val="18"/>
    </w:rPr>
  </w:style>
  <w:style w:type="paragraph" w:styleId="3">
    <w:name w:val="footer"/>
    <w:basedOn w:val="1"/>
    <w:link w:val="10"/>
    <w:semiHidden/>
    <w:qFormat/>
    <w:uiPriority w:val="99"/>
    <w:pPr>
      <w:tabs>
        <w:tab w:val="center" w:pos="4153"/>
        <w:tab w:val="right" w:pos="8306"/>
      </w:tabs>
      <w:snapToGrid w:val="0"/>
      <w:jc w:val="left"/>
    </w:pPr>
    <w:rPr>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jc w:val="left"/>
    </w:pPr>
    <w:rPr>
      <w:rFonts w:ascii="宋体" w:hAnsi="宋体" w:cs="宋体"/>
      <w:kern w:val="0"/>
      <w:sz w:val="22"/>
      <w:szCs w:val="22"/>
    </w:rPr>
  </w:style>
  <w:style w:type="character" w:styleId="7">
    <w:name w:val="Strong"/>
    <w:basedOn w:val="6"/>
    <w:qFormat/>
    <w:uiPriority w:val="99"/>
    <w:rPr>
      <w:rFonts w:cs="Times New Roman"/>
      <w:b/>
      <w:bCs/>
      <w:sz w:val="24"/>
      <w:szCs w:val="24"/>
    </w:rPr>
  </w:style>
  <w:style w:type="character" w:customStyle="1" w:styleId="9">
    <w:name w:val="Balloon Text Char"/>
    <w:basedOn w:val="6"/>
    <w:link w:val="2"/>
    <w:semiHidden/>
    <w:qFormat/>
    <w:locked/>
    <w:uiPriority w:val="99"/>
    <w:rPr>
      <w:rFonts w:ascii="Times New Roman" w:hAnsi="Times New Roman" w:eastAsia="宋体" w:cs="Times New Roman"/>
      <w:sz w:val="18"/>
      <w:szCs w:val="18"/>
    </w:rPr>
  </w:style>
  <w:style w:type="character" w:customStyle="1" w:styleId="10">
    <w:name w:val="Footer Char"/>
    <w:basedOn w:val="6"/>
    <w:link w:val="3"/>
    <w:semiHidden/>
    <w:qFormat/>
    <w:locked/>
    <w:uiPriority w:val="99"/>
    <w:rPr>
      <w:rFonts w:ascii="Times New Roman" w:hAnsi="Times New Roman" w:eastAsia="宋体" w:cs="Times New Roman"/>
      <w:sz w:val="18"/>
      <w:szCs w:val="18"/>
    </w:rPr>
  </w:style>
  <w:style w:type="character" w:customStyle="1" w:styleId="11">
    <w:name w:val="Header Char"/>
    <w:basedOn w:val="6"/>
    <w:link w:val="4"/>
    <w:semiHidden/>
    <w:qFormat/>
    <w:locked/>
    <w:uiPriority w:val="99"/>
    <w:rPr>
      <w:rFonts w:ascii="Times New Roman" w:hAnsi="Times New Roman" w:eastAsia="宋体" w:cs="Times New Roman"/>
      <w:sz w:val="18"/>
      <w:szCs w:val="18"/>
    </w:rPr>
  </w:style>
  <w:style w:type="paragraph" w:customStyle="1" w:styleId="12">
    <w:name w:val="p0"/>
    <w:basedOn w:val="1"/>
    <w:uiPriority w:val="99"/>
    <w:pPr>
      <w:widowControl/>
    </w:pPr>
    <w:rPr>
      <w:kern w:val="0"/>
      <w:szCs w:val="21"/>
    </w:rPr>
  </w:style>
  <w:style w:type="paragraph" w:customStyle="1" w:styleId="13">
    <w:name w:val="Char"/>
    <w:basedOn w:val="1"/>
    <w:uiPriority w:val="99"/>
    <w:rPr>
      <w:szCs w:val="24"/>
    </w:rPr>
  </w:style>
  <w:style w:type="paragraph" w:customStyle="1" w:styleId="14">
    <w:name w:val="Char1"/>
    <w:basedOn w:val="1"/>
    <w:uiPriority w:val="99"/>
    <w:rPr>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新丰财政所</Company>
  <Pages>8</Pages>
  <Words>578</Words>
  <Characters>3298</Characters>
  <Lines>0</Lines>
  <Paragraphs>0</Paragraphs>
  <TotalTime>281</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2018-05-02T02:57:00Z</dcterms:created>
  <dc:creator>曹庆峰</dc:creator>
  <cp:lastModifiedBy>Administrator</cp:lastModifiedBy>
  <dcterms:modified xsi:type="dcterms:W3CDTF">2018-05-09T09:10:55Z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